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HG210202 vom 20. Dezember 2021</w:t>
      </w:r>
    </w:p>
    <w:p>
      <w:r>
        <w:t>Zh Handelsgericht, 2021-12-20, DE</w:t>
      </w:r>
    </w:p>
    <w:p>
      <w:r>
        <w:rPr>
          <w:b/>
        </w:rPr>
        <w:t xml:space="preserve">Quelle: </w:t>
      </w:r>
      <w:r>
        <w:t>https://mcp.opencaselaw.ch/entscheid/zh_handelsgericht_HG210202</w:t>
      </w:r>
    </w:p>
    <w:p>
      <w:r>
        <w:t>FR: ZH_HANDELSGERICHT HG210202 du 20 décembre 2021</w:t>
      </w:r>
    </w:p>
    <w:p>
      <w:r>
        <w:t>IT: ZH_HANDELSGERICHT HG210202 del 20 dicembre 2021</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w:t>
      </w:r>
    </w:p>
    <w:p>
      <w:r>
        <w:t>- 4 -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1.2</w:t>
      </w:r>
    </w:p>
    <w:p>
      <w:r>
        <w:t>Prozessvoraussetzungen Die örtliche Zuständigkeit des hiesigen Handelsgerichts stützt sich auf Art. 10 Abs. 1 lit. b ZPO und ist gegeben, da die Beklagte ihren Sitz im Kanton Zürich hat. Die sachliche Zuständigkeit ergibt sich aus Art. 5 Abs. 1 lit. a ZPO i.V.m. § 44 lit. a GOG und ist ebenfalls gegeben. Die übrigen Prozessvoraussetzungen geben zu keinen Bemerkungen Anlass; auf die Klage ist mithin einzutreten. Wie sogleich zu zeigen ist, erweist sich die Sache als spruchreif. 2. Materielles 2.1. Unbestrittener Sachverhalt Gemäss den von Seiten der Beklagten unbestritten gebliebenen klägerischen Darstellungen ist von folgendem Sachverhalt auszugehen: Nachdem die beklagte Partei der Klägerin – trotz Mahnung – keine Angaben bezüglich vergütungspflich- tiger Nutzungen gemäss GT 3a machte, hat die Klägerin im Sinne von Ziff. 14 GT 3a die Einschätzung vorgenommen und Rechnung gestellt (act. 1 Rz. 7; act. 3/5a- c). Gestützt auf die Einschätzung durch die Klägerin führt die beklagte Partei ab- gabepflichtige Audio-Nutzungen durch auf einer Fläche bis 1000 m2 und auf bis zu 200 Amtslinien (act. 1 Rz. 8). Die entsprechenden Vergütungen von je CHF 239.15 für das Jahr 2020 bzw. 2021 hat die Klägerin am 18. Februar 2020</w:t>
      </w:r>
    </w:p>
    <w:p>
      <w:r>
        <w:t>- 5 - und 21. Juni 2021 in Rechnung gestellt (act. 1 Rz. 9 f.; act. 3/4 und 3/5b-c). Die Rechnungen wurden von der Beklagten in der Folge trotz Mahnung nicht bezahlt (act. 1 Rz. 12). Nachdem die Forderung zu Inkassozwecken zediert und die Be- klagte erfolglos betrieben wurde, erfolgte eine Rückzession an die Klägerin (act. 1 Rz. 11 ff.; act. 3/6a-8b). 2.2. Rechtliches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Urteile des Bundesgerichts 4A_382/2019 vom 11. Dezember 2019 E. 3.3. und 4A_203/2015 vom 30. Juni 2015 E. 3.3.). Gemäss Art. 51 URG besteht eine Auskunftspflicht gegenüber den Verwertungsgesellschaften (Urteil des Bundesge- richts 4A_418/2007 vom 13. Dezember 2007 E. 4). Ziffer 14 GT 3a konkretisiert diese Auskunftspflicht dahingehend, dass wenn Angaben oder Belege auch nach einer schriftlichen Mahnung nicht innert Nachfrist eingereicht werden, die Klägerin die Angaben schätzen und gestützt darauf Rechnung stellen kann. Aufgrund ge- schätzter Angaben erstellte Rechnungen gelten als vom Nutzer anerkannt, wenn er nicht innert 30 Tagen ab Rechnungsdatum vollständige und korrekte Angaben nachliefert. 2.3. Würdigung Bei der Klägerin handelt es sich um eine vom Eidgenössischen Institut für Geis- tiges Eigentum zugelassene Verwertungsgesellschaft nach Art. 40 ff. URG bzw. Ziff. 3 Gemeinsamer Tarif GT 3a (act. 3/2). Die eingeklagte Forderung wurde zwar zeitweise an eine Dritte (Inkassogesellschaft) zediert, wurde mittlerweile jedoch wieder an die Klägerin rückzediert; die Aktivlegitimation ist daher gegeben (act. 3/6 und 3/8). Ebenso ist die Passivlegitimation der Beklagten gegeben. Nach dem zugrundeliegenden, unbestrittenen Sachverhalt hat die Klägerin die – trotz Aus-</w:t>
      </w:r>
    </w:p>
    <w:p>
      <w:r>
        <w:t>- 6 - kunftspflicht – fehlenden Angaben der Beklagten im Sinne von Ziffer 14 GT 3a geschätzt und Rechnung gestellt. Nach den schlüssigen und unbestrittenen klägerischen Darstellungen hat die Klä- gerin für die Jahre 2020 sowie 2021 gestützt auf die Einschätzung zutreffend je eine Vergütung in Höhe von CHF 239.15 von der Beklagten gefordert. Die in Rechnung gestellten Forderungen wurden bis anhin nicht beglichen. Die Klägerin fordert zusätzlich einen Zins von 5% seit dem 19.03.2020 bzw. 02.08.2021. Zur Begründung stützt sie sich auf die Rechnungsstellung per 18. Februar 2020 bzw. 21. Juni 2021 und Ziff. 12 GT 3a (act. 1 Rz. 10; act. 3/5b-c). Die im Recht liegen- den Rechnungen der Klägerin enthalten im Einklang mit der Regelung gemäss Ziff. 15 GT 3a die Bestimmung "Zahlbar bis 18.03.2020" bzw. "Zahlbar bis 01.08.2021" (act. 3/5b-c). Die geforderten Verzugszinsen per 19.03.2020 und 02.08.2021 sind damit geschuldet. Gemäss Rechtsbegehren-Ziffer 3 fordert die Klägerin zudem die Beseitigung des Rechtsvorschlags in der Betreibung Nr. …, Betreibungsamt Regensdorf in Re- gensdorf (act. 3/7). Die vorgenannte Betreibung betrifft lediglich die Forderung für das Jahr 2020 gemäss Dispositiv-Ziffer 1 (vgl. act. 1 Rz. 11 ff.). Mit Gutheissung der Klage ist im Sinne von Art. 79 SchKG der entsprechende Rechtsvorschlag im Umfang von CHF 239.15 zuzüglich Zins zu 5% seit dem 19. März 2020 zu besei- tigen. Die im Zahlungsbefehl vom 3. November 2020 zusätzlich in Betreibung ge- setzte "Umtriebsentschädigung" von CHF 144.70 wurde in vorliegender Klage nicht geltend gemacht; hierfür ist keine Beseitigung des Rechtsvorschlags vorzu- nehmen. Für die im Zahlungsbefehl ausgewiesenen Betreibungskosten ist schliesslich gemäss Art. 68 Abs. 2 SchKG keine Beseitigung des Rechtsvorschla- ges nötig (BGE 144 III 360 E. 3.6.2 mit Hinweis auf Urteil des Bundesgerichts 5A_455/2012 vom 5. Dezember 2012 E. 3).</w:t>
      </w:r>
    </w:p>
    <w:p>
      <w:r>
        <w:rPr>
          <w:b/>
        </w:rPr>
        <w:t>E. 3</w:t>
      </w:r>
    </w:p>
    <w:p>
      <w:r>
        <w:t>Kosten- und Entschädigungsfolgen</w:t>
      </w:r>
    </w:p>
    <w:p>
      <w:r>
        <w:rPr>
          <w:b/>
        </w:rPr>
        <w:t>E. 3.1</w:t>
      </w:r>
    </w:p>
    <w:p>
      <w:r>
        <w:t>Gerichtskosten</w:t>
      </w:r>
    </w:p>
    <w:p>
      <w:r>
        <w:t>- 7 -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478.30. In Anwendung von § 4 Abs. 1 und 2 GebV OG sowie angesichts des im Verhältnis zum Streitwert hohen Zeitaufwandes ist die Gerichtsgebühr auf rund CHF 300.– festzusetzen. Die Gerichtsgebühren sind ausgangsgemäss vollumfänglich der Beklagten aufzu- erlegen (Art. 106 Abs. 1 ZPO) und vorab aus dem von der Klägerin geleisteten Kostenvorschuss zu decken.</w:t>
      </w:r>
    </w:p>
    <w:p>
      <w:r>
        <w:rPr>
          <w:b/>
        </w:rPr>
        <w:t>E. 3.2</w:t>
      </w:r>
    </w:p>
    <w:p>
      <w:r>
        <w:t>Parteientschädigungen Ausgangsgemäss ist der Klägerin zudem eine Parteientschädigung zuzuspre- chen. Deren Höhe richtet sich nach der Anwaltsgebührenverordnung vom</w:t>
      </w:r>
    </w:p>
    <w:p>
      <w:r>
        <w:rPr>
          <w:b/>
        </w:rPr>
        <w:t>E. 8</w:t>
      </w:r>
    </w:p>
    <w:p>
      <w:r>
        <w:t>September 2010 (AnwGebV; Art. 105 Abs. 2 und Art. 96 ZPO). Die Grundge- bühr ist dabei mit der Begründung oder Beantwortung der Klage verdient (§ 11 Abs. 1 AnwGebV). Nach § 4 Abs. 1 AnwGebV beträgt die Grundgebühr CHF 100.–. Diese kann bei besonders hohem Zeitaufwand um bis zu einem Drit- tel erhöht werden (§ 4 Abs. 2 AnwGebV). Die Klägerin verfasste eine Klageschrift (abzüglich Parteibezeichnungen, Rechtsbegehren und Verzeichnisse) von rund vier Seiten (act. 1) und reichte (neben der Vollmacht) 12 Beilagen ein. Aufgrund dieser ausgewiesenen Arbeiten besteht selbst bei der maximalen Gebühr nach § 4 Abs. 1 und 2 AnwGebV (CHF 159.–) ein offensichtliches Missverhältnis zum Zeitaufwand der Klägerin. Die Gebühr ist damit in Anwendung von § 2 Abs. 2 An- wGebV auf CHF 650.– angemessen zu erhöhen.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Klägerin beantragt, ihr sei eine Parteientschädigung zuzüg-</w:t>
      </w:r>
    </w:p>
    <w:p>
      <w:r>
        <w:t>- 8 - lich Mehrwertsteuer zuzusprechen (act. 1 S. 2). Sie behauptet aber keine für die Zusprechung der Mehrwertsteuer erforderlichen aussergewöhnlichen Umstände. Daher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