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HG210082 vom 22. September 2021</w:t>
      </w:r>
    </w:p>
    <w:p>
      <w:r>
        <w:t>Zh Handelsgericht, 2021-09-22, DE</w:t>
      </w:r>
    </w:p>
    <w:p>
      <w:r>
        <w:rPr>
          <w:b/>
        </w:rPr>
        <w:t xml:space="preserve">Quelle: </w:t>
      </w:r>
      <w:r>
        <w:t>https://mcp.opencaselaw.ch/entscheid/zh_handelsgericht_HG210082</w:t>
      </w:r>
    </w:p>
    <w:p>
      <w:r>
        <w:t>FR: ZH_HANDELSGERICHT HG210082 du 22 septembre 2021</w:t>
      </w:r>
    </w:p>
    <w:p>
      <w:r>
        <w:t>IT: ZH_HANDELSGERICHT HG210082 del 22 settembre 2021</w:t>
      </w:r>
    </w:p>
    <w:p>
      <w:pPr>
        <w:pStyle w:val="Heading2"/>
      </w:pPr>
      <w:r>
        <w:t>Erwägungen</w:t>
      </w:r>
    </w:p>
    <w:p>
      <w:r>
        <w:rPr>
          <w:b/>
        </w:rPr>
        <w:t>E. 1</w:t>
      </w:r>
    </w:p>
    <w:p>
      <w:r>
        <w:t>Zuständigkeit und anwendbares Recht Die örtliche Zuständigkeit ergibt sich aus Art. 22 Ziff. 2 LugÜ i.V.m Art. 21 Abs. 1 und Art. 151 Abs. 1 IPRG. Die sachliche Zuständigkeit ist gestützt auf Art. 6 Abs.</w:t>
      </w:r>
    </w:p>
    <w:p>
      <w:r>
        <w:rPr>
          <w:b/>
        </w:rPr>
        <w:t>E. 4</w:t>
      </w:r>
    </w:p>
    <w:p>
      <w:r>
        <w:t>Kosten- und Entschädigungsfolgen</w:t>
      </w:r>
    </w:p>
    <w:p>
      <w:r>
        <w:rPr>
          <w:b/>
        </w:rPr>
        <w:t>E. 4.1</w:t>
      </w:r>
    </w:p>
    <w:p>
      <w:r>
        <w:t>Gerichtskosten Die Höhe der Gerichtskosten bestimmt sich nach der Gebührenverordnung des Obergerichts (GebV). Sie richtet sich in erster Linie nach dem Streitwert bzw. nach dem tatsächlichen Streitinteresse (§ 2 Abs. 1 lit. a GebV). Die Klägerin schätzt den Streitwert auf CHF 50'000.–, was unwidersprochen geblieben ist (act. 1 Rz. 6). Die nach § 4 Abs. 1 GebV bestimmte ordentliche Grundgebühr beträgt CHF 5'550.–. In Anwendung von § 4 Abs. 1 und § 10 Abs. 1 GebV OG ist die Ge- richtsgebühr auf rund zwei Drittel der Grundgebühr festzusetzen. Die Prozesskos- ten werden grundsätzlich der unterliegenden Partei auferlegt (Art. 106 Abs. 1 ZPO). Die Klägerin beantragt indessen die Kostenauflage an die beiden Verwal- tungsräte. Art 108 ZPO sieht vor, dass unnötige Prozesskosten bezahlen muss, wer sie verursacht hat. Diese Bestimmung ermöglicht grundsätzlich auch eine Auflage der gesamten Prozesskosten an Dritte (BGE 141 III 426 E. 2.4.3). Konk- ret bejaht hat das Bundesgericht diese Möglichkeit für Fälle, in welchen dem Drit- ten ein vorwerfbares Verhalten zuzurechnen ist. Ob ein vorwerfbares Verhalten notwendig ist, hat es offen gelassen (BGE 141 III 426 E. 2.4.4., m.w.H.). Der Stimmrechtsausschluss beim Déchargebeschluss ist eine zwingende gesetzliche Schranke. Die Bestimmung dient der Verhinderung von Interessenkonflikten und damit verbundenen Schädigungen der Interessen anderer Aktionäre und der Ge- sellschaft. Sie schützt das Interesse der Gesellschaft an der Bewahrung ihre An- sprüche und dient damit ihrer Funktionsfähigkeit (BOHRER/KUMMER, in: ZK zu Art. 660 – 697m OR, 2. Aufl. 2021, N 11 zu Art. 695). Die beiden Verwaltungsräte ha- ben sich über diese grundlegende Bestimmung hinweggesetzt, obwohl sie in der Generalversammlung mehrfach auf die Problematik ihres Verhaltens hingewiesen wurden (act. 1 Rz. 26 und 30). Dies ist ein vorwerfbares Verhalten, welches eine Kostenauflage an die beiden Verwaltungsräte gestützt auf Art. 108 ZPO rechtfer- tigt. Es wäre stossend und unbillig, die Kosten, die aus einer Verletzung einer Be- stimmung resultieren, welche dem Schutz ihrer eigenen Interessen dient, der Ge- sellschaft aufzuerlegen.</w:t>
      </w:r>
    </w:p>
    <w:p>
      <w:r>
        <w:t>- 7 -</w:t>
      </w:r>
    </w:p>
    <w:p>
      <w:r>
        <w:rPr>
          <w:b/>
        </w:rPr>
        <w:t>E. 4.2</w:t>
      </w:r>
    </w:p>
    <w:p>
      <w:r>
        <w:t>Parteientschädigungen Die Höhe der Parteientschädigung ist nach der Verordnung über die Anwaltsge- bühren festzusetzen (AnwGebV). Grundlage ist auch hier der Streitwert bzw. das tatsächliche Streitinteresse (§ 2 Abs. 1 lit. a AnwGebV). Bei einem Streitwert von CHF 50'000.– errechnet sich eine Grundgebühr von rund CHF 7'000.–. Sie ist mit der Erarbeitung der Begründung oder der Beantwortung der Klage verdient (§ 11 Abs. 1 AnwGebV). D._____ und C._____, sind demnach zu verpflichten, der Klä- gerin eine Parteientschädigung von CHF 7'000.– (unter solidarischer Haftung) zu bezahlen. Ein Mehrwertsteuerzuschlag ist mangels Begründung nicht geschuldet (Urteil des Bundesgerichts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