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HG200237 vom 19. März 2021</w:t>
      </w:r>
    </w:p>
    <w:p>
      <w:r>
        <w:t>Zh Handelsgericht, 2021-03-19, DE</w:t>
      </w:r>
    </w:p>
    <w:p>
      <w:r>
        <w:rPr>
          <w:b/>
        </w:rPr>
        <w:t xml:space="preserve">Quelle: </w:t>
      </w:r>
      <w:r>
        <w:t>https://mcp.opencaselaw.ch/entscheid/zh_handelsgericht_HG200237</w:t>
      </w:r>
    </w:p>
    <w:p>
      <w:r>
        <w:t>FR: ZH_HANDELSGERICHT HG200237 du 19 mars 2021</w:t>
      </w:r>
    </w:p>
    <w:p>
      <w:r>
        <w:t>IT: ZH_HANDELSGERICHT HG200237 del 19 marzo 2021</w:t>
      </w:r>
    </w:p>
    <w:p>
      <w:pPr>
        <w:pStyle w:val="Heading2"/>
      </w:pPr>
      <w:r>
        <w:t>Erwägungen</w:t>
      </w:r>
    </w:p>
    <w:p>
      <w:r>
        <w:rPr>
          <w:b/>
        </w:rPr>
        <w:t>E. 5</w:t>
      </w:r>
    </w:p>
    <w:p>
      <w:r>
        <w:t>Würdigung</w:t>
      </w:r>
    </w:p>
    <w:p>
      <w:r>
        <w:rPr>
          <w:b/>
        </w:rPr>
        <w:t>E. 5.1</w:t>
      </w:r>
    </w:p>
    <w:p>
      <w:r>
        <w:t>Aktiv- und Passivlegitimation Nach Art. 20 Abs. 4 URG können die gemäss Art. 20 Abs. 2 URG geschuldeten Vergütungen für den Eigengebrauch nur durch zugelassene Verwertungsgesell- schaften – wie die Klägerin eine ist – geltend gemacht werden. Die Aktivlegitima- tion der Klägerin ergibt sich aus Art. 44 URG und der Bewilligung des Eidgenössi- schen Instituts für Geistiges Eigentum (act. 3/2), wonach diese verpflichtet ist, die zu ihrem Tätigkeitsgebiet gehörenden Rechte wahrzunehmen. Die Beklagte ist als im Bereich Kommunikations- und Unternehmensberatung tä- tige Gesellschaft eine grundsätzlich vergütungspflichtige Nutzerin und damit pas- sivlegitimiert.</w:t>
      </w:r>
    </w:p>
    <w:p>
      <w:r>
        <w:rPr>
          <w:b/>
        </w:rPr>
        <w:t>E. 5.2</w:t>
      </w:r>
    </w:p>
    <w:p>
      <w:r>
        <w:t>Rechtliche Grundlage des klägerischen Vergütungsanspruchs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wobei diese Vergütungsansprü- che, wie vorstehend bereits erwähnt, nur durch zugelassene Verwertungsgesell- schaften – wie die Klägerin eine ist – geltend gemacht werden (Art. 20 Abs. 4 URG). Art. 46 Abs. 1 URG bestimmt sodann, dass die Verwertungsgesellschaften für die von ihnen geforderten Vergütungen Tarife aufstellen.</w:t>
      </w:r>
    </w:p>
    <w:p>
      <w:r>
        <w:t>- 6 - Der GT 8 VII 2017-2021 umschreibt den Verwendungsbereich, die Bedingungen und die Vergütungen für das Vervielfältigen urheberrechtlich geschützter und ver- öffentlichter Werke. Der Tarif umfasst zum einen die gesetzlich erlaubten, verwer- tungsgesellschaftspflichtigen Verwendungen gemäss Art. 19 und 20 URG. Zum anderen umfasst der Tarif die über diesen Rahmen hinausgehenden zusätzlichen Nutzungen, welche nicht zu den der Aufsicht des Staates unterstellten Verwer- tungsbereichen gehören (Ziff. 1 GT 8 VII 2017-2021). Um den geschuldeten Vergütungsbetrag zu bestimmen, hat die Klägerin mittels Erhebungsformular die nötigen Informationen zur Anzahl der Angestellten und der Branchenzugehörigkeit der potenziellen Nutzer zu ermitteln. Sie ist dabei auf die Mitwirkung der Werknutzer angewiesen, wobei Art. 51 Abs. 1 URG bestimmt, dass die Werknutzer – soweit zumutbar – den Verwertungsgesellschaften alle Auskünfte erteilen müssen, welche diese für die Gestaltung, die Anwendung der Tarife sowie die Verteilung des Erlöses benötigen. Unterbleibt eine solche Mitwir- kung trotz schriftlicher Ermahnung, so sieht Ziff. 8.3 des GT 8 VII 2017-2021 vor, dass die Verwertungsgesellschaft die notwendigen Angaben schätzen und ge- stützt darauf Rechnung stellen kann.</w:t>
      </w:r>
    </w:p>
    <w:p>
      <w:r>
        <w:rPr>
          <w:b/>
        </w:rPr>
        <w:t>E. 5.3</w:t>
      </w:r>
    </w:p>
    <w:p>
      <w:r>
        <w:t>Einschätzung Vorliegend ist davon auszugehen, dass die Beklagte, welche Kommunikations- leistungen erbringt, Reprografiegeräte einsetzt, sodass sie im Sinne von Art. 19 Abs. 1 lit. c i.V.m. Art. 20 Abs. 2 URG vergütungspflichtig ist und der GT 8 VII 2017-2021 Anwendung findet. Wie erwähnt unterblieb vorliegend eine Mitwirkung durch die Beklagte, weshalb die Klägerin richtigerweise eine Einschätzung gestützt auf Ziff. 6 ff. und insbeson- dere Ziff. 8.3 von GT 8 VII 2017-2021 vornahm. Aufgrund dieser Einschätzung be- rechnete die Klägerin den vorstehend erwähnten, geschuldeten Betrag von CHF 26.15. Gemäss unbestritten gebliebener Darstellung der Klägerin wurden der Beklagten die Einschätzungen für die Jahre 2019 und 2020 und die darauf basierende Be-</w:t>
      </w:r>
    </w:p>
    <w:p>
      <w:r>
        <w:t>- 7 - rechnung zur Kenntnis gebracht. Sodann wird in der Rechnung (act. 3/4) auf den GT hingewiesen, aus welchem hervorgeht, dass die Schätzung durch die Beklag- te anerkannt wird, wenn die Beklagte die Schätzung nicht innert 30 Tagen nach Zustellung beanstandet (vgl. Ziff. 8.3 des GT 8 VII 2017-2021). Gegen das Vor- gehen der Klägerin ist nichts einzuwenden, und es blieb überdies unbestritten. Anhaltspunkte für eine Beanstandung durch die Beklagte bestehen nicht. Sowohl die Gemeinsamen Tarife (vgl. Art. 59 Abs. 3 URG) als auch die darin vorgesehe- nen Formularpflicht sind für das Gericht verbindlich (BGE 140 II 483 ff., E. 5.2; ferner Urteil des Bundesgerichts 4A_382/2019 vom 11. Dezember 2019, E. 3.3.). Gleiches gilt für die unbestritten gebliebene Einschätzung durch die Klägerin (Ur- teile des Bundesgerichts 4A_41/2020 und 4A_39/2020 vom 17. April 2020, jeweils E. 2.2.3.).</w:t>
      </w:r>
    </w:p>
    <w:p>
      <w:r>
        <w:rPr>
          <w:b/>
        </w:rPr>
        <w:t>E. 5.4</w:t>
      </w:r>
    </w:p>
    <w:p>
      <w:r>
        <w:t>Zinsen Die Klägerin verlangt schliesslich gestützt auf das Mahnschreiben vom 23. Sep- tember 2020 Zins zu 5 % seit dem 5. Oktober 2020, was unbestritten blieb. Dem- gemäss ist die Beklagte zu verpflichten, der Klägerin auf dem Betrag von CHF 26.15 einen Verzugszins von 5 % seit dem 5. Oktober 2020 zu bezahlen.</w:t>
      </w:r>
    </w:p>
    <w:p>
      <w:r>
        <w:rPr>
          <w:b/>
        </w:rPr>
        <w:t>E. 6</w:t>
      </w:r>
    </w:p>
    <w:p>
      <w:r>
        <w:t>Kosten- und Entschädigungsfolgen</w:t>
      </w:r>
    </w:p>
    <w:p>
      <w:r>
        <w:rPr>
          <w:b/>
        </w:rPr>
        <w:t>E. 6.1</w:t>
      </w:r>
    </w:p>
    <w:p>
      <w:r>
        <w:t>Gerichtskosten Die Höhe der Gerichtsgebühr bestimmt sich nach der Gebührenverordnung des Obergerichts (GebV OG; Art. 96 ZPO i.V.m. Art. 199 Abs. 1 GOG) und richtet sich in erster Linie nach dem Streitwert bzw. nach dem tatsächlichen Streitinteresse (§ 2 Abs. 1 lit. a GebV OG). Vorliegend beträgt der Streitwert CHF 26.15. Die nach § 4 Abs. 1 GebV OG ermittelte ordentliche Gerichtsgebühr beträgt CHF 150.– und ist angesichts des im Verhältnis zum Streitwert hohen Zeitauf- wandes nach § 4 Abs. 2 GebV OG zu verdoppeln auf CHF 300.–. Die Gerichts- gebühr ist deshalb auf CHF 300.– festzusetzen und ausgangsgemäss der Beklag- ten aufzuerlegen (Art. 106 Abs. 1 ZPO).</w:t>
      </w:r>
    </w:p>
    <w:p>
      <w:r>
        <w:t>- 8 -</w:t>
      </w:r>
    </w:p>
    <w:p>
      <w:r>
        <w:rPr>
          <w:b/>
        </w:rPr>
        <w:t>E. 6.2</w:t>
      </w:r>
    </w:p>
    <w:p>
      <w:r>
        <w:t>Parteientschädigung Ausgangsgemäss ist der Klägerin zudem eine Parteientschädigung zuzuspre- chen. Deren Höhe richtet sich nach der Anwaltsgebührenverordnung vom 8. Sep- tember 2010 (AnwGebV; Art. 105 Abs. 2 und Art. 96 ZPO). Die Grundgebühr ist dabei mit der Begründung oder Beantwortung der Klage verdient (§ 11 Abs. 1 AnwGebV). Nach § 4 Abs. 1 AnwGebV beträgt die Grundgebühr CHF 100.–. Die- se kann bei besonders hohem Zeitaufwand um bis zu einem Drittel erhöht werden (§ 4 Abs. 2 AnwGebV). Die Klägerin verfasste eine Klageschrift (abzüglich Partei- bezeichnungen, Rechtsbegehren und Verzeichnisse) von immerhin rund drei Sei- ten (act. 1) und reichte sechs Beilagen ein. Aufgrund dieser ausgewiesenen Ar- beiten besteht selbst bei der maximalen Gebühr nach § 4 Abs. 1 und 2 AnwGebV (CHF 133.–) ein offensichtliches Missverhältnis zum Zeitaufwand der Klägerin. Die berechnete Gebühr ist deshalb in Anwendung von § 2 Abs. 2 AnwGebV pra- xisgemäss auf CHF 650.– zu erhöhen. Bezüglich des Antrags der Klägerin auf Zusprechung der Parteientschädigung zuzüglich Mehrwertsteuer ist grundsätzlich auf das Kreisschreiben des Obergerichtes vom 17. Mai 2006 hinzuweisen. Dem- gemäss hat eine mehrwertsteuerpflichtige Partei, welche die Ersetzung der Mehrwertsteuer beantragt, die Umstände, welche einen (vollen) Vorsteuerabzug nicht zulassen, zu behaupten und belegen (vgl. auch Urteil des Bundesgerichts 4A_552/2015 vom 25. Mai 2016, E. 4.5.). Angesichts der fehlenden Begründung und Belege ist der Klägerin die Parteientschädigung daher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