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HG200109 vom 2. September 2020</w:t>
      </w:r>
    </w:p>
    <w:p>
      <w:r>
        <w:t>Zh Handelsgericht, 2020-09-02, DE</w:t>
      </w:r>
    </w:p>
    <w:p>
      <w:r>
        <w:rPr>
          <w:b/>
        </w:rPr>
        <w:t xml:space="preserve">Quelle: </w:t>
      </w:r>
      <w:r>
        <w:t>https://mcp.opencaselaw.ch/entscheid/zh_handelsgericht_HG200109</w:t>
      </w:r>
    </w:p>
    <w:p>
      <w:r>
        <w:t>FR: ZH_HANDELSGERICHT HG200109 du 2 septembre 2020</w:t>
      </w:r>
    </w:p>
    <w:p>
      <w:r>
        <w:t>IT: ZH_HANDELSGERICHT HG200109 del 2 settembre 2020</w:t>
      </w:r>
    </w:p>
    <w:p>
      <w:pPr>
        <w:pStyle w:val="Heading2"/>
      </w:pPr>
      <w:r>
        <w:t>Erwägungen</w:t>
      </w:r>
    </w:p>
    <w:p>
      <w:r>
        <w:rPr>
          <w:b/>
        </w:rPr>
        <w:t>E. 3</w:t>
      </w:r>
    </w:p>
    <w:p>
      <w:r>
        <w:t>Kosten- und Entschädigungsfolgen</w:t>
      </w:r>
    </w:p>
    <w:p>
      <w:r>
        <w:rPr>
          <w:b/>
        </w:rPr>
        <w:t>E. 3.1</w:t>
      </w:r>
    </w:p>
    <w:p>
      <w:r>
        <w:t>Die Höhe der Gerichtsgebühr bestimmt sich nach der Gebührenverordnung des Obergerichts (Art. 96 ZPO i.V.m. Art. 199 Abs. 1 GOG) und richtet sich in ers- ter Linie nach dem Streitwert, dem Zeitaufwand des Gerichts sowie der Schwie- rigkeit des Falls (§ 2 Abs. 1 lit. a, c und d sowie § 4 GebV OG). Vorliegend beträgt</w:t>
      </w:r>
    </w:p>
    <w:p>
      <w:r>
        <w:t>- 4 - der Streitwert gemäss dem klägerischen Hauptbegehren CHF 1'097'680.– (Um- rechnungskurs vom 31. Mai 2017: EUR 1.00 = CHF 1.08979). Die Gerichtsgebühr ist aufgrund des Umfangs der Akten und der Komplexität der sich stellenden Rechtsfragen unter Erhöhung der Grundgebühr um einen Drittel auf rund CHF 42'500.– festzusetzen. Eine Veranlassung, von der bereits im Urteil vom</w:t>
      </w:r>
    </w:p>
    <w:p>
      <w:r>
        <w:rPr>
          <w:b/>
        </w:rPr>
        <w:t>E. 3.2</w:t>
      </w:r>
    </w:p>
    <w:p>
      <w:r>
        <w:t>Gestützt auf Art. 106 Abs. 1 und 2 ZPO sind die Prozesskosten den Partei- en nach Obsiegen und Unterliegen aufzuerlegen. Massgebend ist dabei das Urteil des Bundesgerichts vom 29. Mai 2020 (act. 40). Obsiegt keine Partei vollständig, sind die Prozesskosten entsprechend dem Ver- fahrensausgang verhältnismässig aufzuteilen. Bei Streitigkeiten mit einem Streit- wert beurteilt sich der Grad des Obsiegens in der Regel nach dem Verhältnis zwi- schen dem im Rechtsbegehren gestellten Antrag und dem schliesslich zugespro- chenen Ergebnis. Für die Kostenverteilung fallen Eventualbegehren nicht in Be- tracht, sofern das Hauptbegehren geschützt wird. Dringt indessen bloss das Eventualbegehren durch und liegt dessen Streitwert unter demjenigen des Haupt- begehrens, so unterliegt die klagende Partei mit der Differenz zwischen Haupt- und Eventualbegehren (BSK ZPO-RÜEGG/RÜEGG, 3. Aufl., Basel 2018, Art. 106 N 3; JENNY, in: Sutter-Somm/Hasenböhler/Leuenberger [Hrsg.], Kommentar zur Schweizerischen Zivilprozessordnung, 3. Aufl., Zürich 2016, Art. 106 N 9). Vorliegend hat die Klägerin mit ihrem Eventualbegehren gemäss Ziffer 2 ihres Rechtsbegehrens im Umfang von CHF 967'290.– (entsprechend EUR 887'593.29; Umrechnungskurs vom 31. Mai 2017: EUR 1.00 = CHF 1.08979) obsiegt. Abge- wiesen wurden dagegen der zusätzlich verlangte Betrag von CHF 4'110.– (ent- sprechend EUR 3'772.–) sowie teilweise das Zinsbegehren. Mit dem verlangten Zins zu 5 % auf EUR 887'593.29 seit dem 2. Mai 2011 machte die Klägerin ge- mäss den Ausführungen des Bundesgerichts keinen Schadenszins, sondern ent- gangenen Gewinn geltend. Gleiches gelte für den Betrag von EUR 3'772.–. Ent- gangener Gewinn sei mangels Substantiierung nicht dargetan, weshalb keine Entschädigung für entbehrtes Kapital geschuldet und die Klage diesbezüglich ab- zuweisen sei. Die Klägerin habe jedoch ab dem Datum der Klageeinreichung,</w:t>
      </w:r>
    </w:p>
    <w:p>
      <w:r>
        <w:t>- 5 - dem 31. Mai 2017, Anspruch auf 5 % Verzugszins auf dem zugesprochenen Be- trag (act. 40 E 6.5). Nach dem Gesagten ist das Zinsbegehren gemäss Ziffer 2 des klägerischen Rechtsbegehrens bei der Prüfung des Verfahrensausgangs – anders als bei der Berechnung des Streitwerts – zu beachten. Demnach ist die Klägerin betreffend die Zinsforderung im Umfang von rund CHF 294'000.– (entsprechend der Zinsfor- derung vom 2. Mai 2011 bis 31. Mai 2017) unterlegen und hat im Umfang von rund CHF 145'000.– obsiegt (entsprechend der Zinsforderung von 31. Mai 2017 bis 29. Mai 2020). Mit dem Hauptbegehren ist die Klägerin nicht durchgedrungen. Die Differenz zwischen Haupt- und Eventualbegehren beträgt rund CHF 130'400.–; in diesem Umfang unterliegt die Klägerin. Zusammengefasst obsiegt die Klägerin im Umfang von CHF 1'112'290.– (CHF 967'290.– + CHF 145'000) und unterliegt im Umfang von CHF 428'510.– (CHF 294'000.– + 130'400.– + CHF 4'110.–). Die Klägerin obsiegt demnach zu rund 3/5 und die Beklagte zu 2/5. Entsprechend sind die Gerichtskosten aufzutei- len.</w:t>
      </w:r>
    </w:p>
    <w:p>
      <w:r>
        <w:rPr>
          <w:b/>
        </w:rPr>
        <w:t>E. 3.3</w:t>
      </w:r>
    </w:p>
    <w:p>
      <w:r>
        <w:t>Antragsgemäss ist der Klägerin eine reduzierte Parteientschädigung zuzu- sprechen. Die Grundgebühr, auf die der Anspruch mit der Erarbeitung oder Be- antwortung der Klage entsteht, deckt auch den Aufwand für die Teilnahme an ei- ner allfälligen Hauptverhandlung ab. Für die Teilnahme an zusätzlichen Verhand- lungen und weitere notwendige Rechtsschriften wird ein Einzelzuschlag von je- weils höchstens der Hälfte der Grundgebühr berechnet; diese darf insgesamt je- doch nicht überschritten werden (§ 11 Abs. 1-3 AnwGebV). Vorliegend nahm die Klägerin an einer Vergleichsverhandlung teil und verfasste eine Replik. Unter Be- rücksichtigung des Zeitaufwands sowie der Schwierigkeit des Falls rechtfertigt es sich, in Anwendung von § 4 Abs. 1 und 2 sowie § 11 AnwGebV, die Grundgebühr um 40% zu erhöhen und auf CHF 45'000.– festzusetzen. Die von der Beklagten zu bezahlende Parteientschädigung ist sodann im Verhält- nis des Obsiegens und Unterliegens der Klägerin auf CHF 9'000.– zu reduzieren.</w:t>
      </w:r>
    </w:p>
    <w:p>
      <w:r>
        <w:t>- 6 - Aufgrund des Umstands, dass die Klägerin ihren Sitz im Ausland hat, muss deren Rechtsvertretung für die erbrachten Leistungen in der Schweiz keine Mehrwert- steuer abliefern und überwälzt auch keine solche auf die Klägerin. Die Parteient- schädigung ist somit ohne den beantragten Mehrwertsteuerzusatz zuzusprechen (vgl. Kreisschreiben der Verwaltungskommission des Obergerichts des Kantons Zürich über die Mehrwertsteuer vom 17. Mai 2006). Das Handelsgericht erkennt:</w:t>
      </w:r>
    </w:p>
    <w:p>
      <w:r>
        <w:rPr>
          <w:b/>
        </w:rPr>
        <w:t>E. 7</w:t>
      </w:r>
    </w:p>
    <w:p>
      <w:r>
        <w:t>Mai 2019 festgesetzten Höhe der Gerichtsgebühr abzuweichen,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