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HG200077 vom 21. November 2022</w:t>
      </w:r>
    </w:p>
    <w:p>
      <w:r>
        <w:t>Zh Handelsgericht, 2022-11-21, DE</w:t>
      </w:r>
    </w:p>
    <w:p>
      <w:r>
        <w:rPr>
          <w:b/>
        </w:rPr>
        <w:t xml:space="preserve">Quelle: </w:t>
      </w:r>
      <w:r>
        <w:t>https://mcp.opencaselaw.ch/entscheid/zh_handelsgericht_HG200077</w:t>
      </w:r>
    </w:p>
    <w:p>
      <w:r>
        <w:t>FR: ZH_HANDELSGERICHT HG200077 du 21 novembre 2022</w:t>
      </w:r>
    </w:p>
    <w:p>
      <w:r>
        <w:t>IT: ZH_HANDELSGERICHT HG200077 del 21 novembre 2022</w:t>
      </w:r>
    </w:p>
    <w:p>
      <w:pPr>
        <w:pStyle w:val="Heading2"/>
      </w:pPr>
      <w:r>
        <w:t>Erwägungen</w:t>
      </w:r>
    </w:p>
    <w:p>
      <w:r>
        <w:rPr>
          <w:b/>
        </w:rPr>
        <w:t>E. 1</w:t>
      </w:r>
    </w:p>
    <w:p>
      <w:r>
        <w:t>Formelles</w:t>
      </w:r>
    </w:p>
    <w:p>
      <w:r>
        <w:rPr>
          <w:b/>
        </w:rPr>
        <w:t>E. 1.1</w:t>
      </w:r>
    </w:p>
    <w:p>
      <w:r>
        <w:t>Örtliche und sachliche Zuständigkeit Das Handelsgericht des Kantons Zürich ist zur Beurteilung der vorliegenden Kla- ge unbestrittenermassen örtlich und sachlich zuständig (act. 1 Rz. 2 f.; act. 20; Art. 31 ZPO sowie Art. 6 Abs. 1 und Abs. 2 ZPO i.V.m. § 44 lit. b GOG).</w:t>
      </w:r>
    </w:p>
    <w:p>
      <w:r>
        <w:rPr>
          <w:b/>
        </w:rPr>
        <w:t>E. 1.2</w:t>
      </w:r>
    </w:p>
    <w:p>
      <w:r>
        <w:t>Zulässigkeit der Noveneingabe</w:t>
      </w:r>
    </w:p>
    <w:p>
      <w:r>
        <w:rPr>
          <w:b/>
        </w:rPr>
        <w:t>E. 1.2.1</w:t>
      </w:r>
    </w:p>
    <w:p>
      <w:r>
        <w:t>Parteistandpunkte Die Klägerin 1 macht geltend, bei der Abtretungsvereinbarung vom 8. Februar 2022 handle es sich um ein echtes Novum, da die Vereinbarung erst nach dem Einreichen der Replik zustande gekommen sei (act. 59). Die Beklagte äussert sich nicht zur Zulässigkeit der Noveneingabe (act. 61 Rz. 3, Rz. 11).</w:t>
      </w:r>
    </w:p>
    <w:p>
      <w:r>
        <w:rPr>
          <w:b/>
        </w:rPr>
        <w:t>E. 1.2.2</w:t>
      </w:r>
    </w:p>
    <w:p>
      <w:r>
        <w:t>Zulässigkeit neuer Tatsachen und Beweismittel Die Eingabe der Klägerin 1 vom 11. Februar 2022 erfolgte nach Einreichung der Replik vom 7. Juni 2021 und somit nach dem letzten uneingeschränkten Partei- vortrag der Klägerin 1 (act. 40; act. 59). Wie von der Klägerin 1 richtig ausgeführt wird, ist eine solche Eingabe nur zuzulassen, wenn es sich bei den neu geltend gemachten Tatsachen um Noven handelt (vgl. Art. 229 ZPO). Die Klägerin 1 reichte die Abtretungsvereinbarung vom 8. Februar 2022 am 11. Februar 2022 ein und führte aus, es handle sich um ein echtes Novum, da die Vereinbarung erst nach Einreichung der Replik zustande gekommen sei (vgl. act. 59; act. 60). Zu- treffend ist zwar, dass die Abtretungsvereinbarung erst am 8. Februar 2022 ent- standen ist; jedoch handelt es sich dabei um ein sog. Potestativ-Novum, d.h. ein Novum, dessen Entstehung vom Willen der beiden Kläger abhängig ist. Die Zu- lässigkeit solcher Noven entscheidet sich danach, ob sie trotz zumutbarer Sorgfalt im Sinne von Art. 229 Abs. 1 lit. b ZPO nicht früher hatten vorgebracht werden können (BGE 146 III 416 E. 5.3); mithin werden sie wie unechte Noven behandelt. Die Partei, die sich auf solche Noven stützen will, hat für jede neue Tatsache und</w:t>
      </w:r>
    </w:p>
    <w:p>
      <w:r>
        <w:t>- 7 - jedes neue Beweismittel substantiiert darzutun, dass die Zulässigkeitsvorausset- zungen erfüllt sind, d.h. sie trägt die Beweislast (Art. 8 ZGB analog; statt vieler: WILLISEGGER, in: Spühler/Tenchio/Infanger [Hrsg.], BSK ZPO, 3. Aufl. 2017, Art. 229 N 33).</w:t>
      </w:r>
    </w:p>
    <w:p>
      <w:r>
        <w:rPr>
          <w:b/>
        </w:rPr>
        <w:t>E. 1.2.3</w:t>
      </w:r>
    </w:p>
    <w:p>
      <w:r>
        <w:t>Behauptungs-, Substantiierungs- und Beweislast Die beweisbelastete Partei hat in Verfahren, in denen – wie vorliegend – der Ver- handlungsgrundsatz gilt, die Tatsachen anzugeben, auf die sie ihre Begehren stützt (sog. Behauptungslast; Art. 55 Abs. 1 ZPO). Bestreitet die Gegenpartei die Vorbringen der behauptungsbelasteten Partei substantiiert (vgl. zum substantiier- ten Bestreiten: WALTER, in: Hausheer/Walter [Hrsg.], BK ZGB, Einleitung und Per- sonenrecht, Art. 1-9 ZGB, Band I/1, 2012, Art. 8 N 191 ff.), trifft die behauptungs- belastete Partei eine über die Behauptungslast hinausgehende Substantiierungs- last. Die erforderlichen Tatsachenbehauptungen müssen so konkret und bestimmt vorgebracht werden, dass darüber Beweis abgenommen werden kann (WILLISEG- GER, a.a.O., Art. 221 N 29, m.w.N.). Das genügende Behaupten und Bestreiten der rechtserheblichen Tatsachen ist eine prozessuale Last, deren Nichterfüllung prozessuale Nachteile für die betreffende Partei zur Folge haben kann. Bezüglich unsubstantiiert vorgetragener Sachverhalte besteht kein Anspruch auf Beweisfüh- rung. Der nicht substantiiert vorgetragene Sachverhalt ist somit dem nicht bewie- senen gleichgestellt (BGE 129 III 18 E. 2.6 = Pra 92 [2003] Nr. 30; Urteile BGer 4C.211/2006 E. 3.1; 5P.210/2005 E. 4.1; WILLISEGGER, a.a.O., Art. 222 N 24).</w:t>
      </w:r>
    </w:p>
    <w:p>
      <w:r>
        <w:rPr>
          <w:b/>
        </w:rPr>
        <w:t>E. 1.2.4</w:t>
      </w:r>
    </w:p>
    <w:p>
      <w:r>
        <w:t>Subsumtion Die Klägerin 1 will sich auf die Abtretungsvereinbarung und die in diesem Zu- sammenhang aufgestellten Tatsachenbehauptungen stützen, weshalb sie die Beweislast für den Sorgfaltsnachweis gemäss Art. 229 Abs. 1 lit. b ZPO trägt. Sie legt aber nicht dar, wieso die Abtretungsvereinbarung – die zwischen den Kläger abgeschlossen wurde und daher einzig von deren Wille abhängig ist – nicht schon früher hätte erstellt und eingereicht werden können. Somit kommt sie ihrer Be- hauptungslast nicht nach, und der Sorgfaltsnachweis misslingt ihr. Die Tatsa- chenbehauptungen in der Eingabe vom 11. Februar 2022 und die Abtretungsver-</w:t>
      </w:r>
    </w:p>
    <w:p>
      <w:r>
        <w:t>- 8 - einbarung vom 8. Februar 2022 als Beweismittel sind als unzulässige Noven zu qualifizieren (act. 59; act. 60). Im Sinne einer Eventualbegründung ist darauf hinzuweisen, dass die Kläger be- reits nach Erhalt des Beschlusses vom 13. August 2021 damit rechnen mussten, im weiteren Verfahrensverlauf nicht als einfache Gesellschaft und notwendige Streitgenossen qualifiziert zu werden. Spätestens ab diesem Zeitpunkt hätten sich die Kläger absichern müssen. Es wäre ihnen frei gestanden, (wohl hauptsächlich als unechte Noven) weitere Tatsachenbehauptungen und Beweismittel zur Art ih- rer Zusammenarbeit – insbesondere zur internen Absprache hinsichtlich des Mäk- lerlohns – ins Verfahren einzubringen, oder die Abtretung ihrer Ansprüche vorzu- nehmen. Indem sie vor der Abtretung der Ansprüche den Entscheid des Bundes- gerichts abgewartet haben, sind ihre Noven in diesem Zusammenhang auch als verspätet zu qualifizieren. Daher sind die Noveneingabe vom 11. Februar 2022 und die Abtretungsvereinbarung vom 8. Februar 2022 für das vorliegende Verfah- ren unbeachtlich.</w:t>
      </w:r>
    </w:p>
    <w:p>
      <w:r>
        <w:rPr>
          <w:b/>
        </w:rPr>
        <w:t>E. 1.2.5</w:t>
      </w:r>
    </w:p>
    <w:p>
      <w:r>
        <w:t>Fazit Bei der von der Klägerin 1 eingereichten Noveneingabe vom 11. Februar 2022 und der Abtretungsvereinbarung vom 8. Februar 2022 handelt es sich um unzu- lässige Potestativ-Noven (act. 59; act. 60). Die Klägerin 1 erbringt – mangels ent- sprechender Behauptungen – den ihr obliegenden Sorgfaltsnachweis für die Zu- lässigkeit solcher Noven nicht. Ausserdem ist eventualiter festzuhalten, dass die Potestativ-Noven verspätet erstellt und eingereicht wurden. Diese Tatsachen und Beweismittel sind für das vorliegende Verfahren unbeachtlich.</w:t>
      </w:r>
    </w:p>
    <w:p>
      <w:r>
        <w:rPr>
          <w:b/>
        </w:rPr>
        <w:t>E. 1.3</w:t>
      </w:r>
    </w:p>
    <w:p>
      <w:r>
        <w:t>Einfache Streitgenossenschaft Gemäss Verfügung des hiesigen Gerichts vom 17. Mai 2021 lässt sich weder der Klage noch der Stellungnahme zum Sicherstellungsgesuch vom 28. September 2020 entnehmen, dass sich die Klägerin 1 und der Kläger 2 zu einer einfachen Gesellschaft zusammengefunden hätten, um für die Beklagte als Mäkler tätig zu sein (vgl. act. 1; act. 14). Vielmehr sind die Klägerin 1 in der Phase 1 (Vermittlung</w:t>
      </w:r>
    </w:p>
    <w:p>
      <w:r>
        <w:t>- 9 - von israelischen Kaufinteressenten; ab Februar 2019) und der ehemalige Kläger 2 in der Phase 2 (Vermittlung weiterer Kaufinteressenten inkl. der späteren Käufe- rin, der G._____; ab Mai 2019) jeweils allein aufgetreten. Daher bilden die Kläge- rin 1 und der frühere Kläger 2 (materiell) keine einfache Gesellschaft und (pro- zessual) keine notwendige Streitgenossenschaft (act. 36 E. 5). Auf diese Erwä- gungen wird im Beschluss vom 13. August 2021 verwiesen und ausgeführt, dass das Schicksal der Klage bezüglich der Klägerin 1 und des Klägers 2 separat zu beurteilen ist. Mangels Bezahlung der Sicherheitsleistung für die Parteientschädi- gung durch den Kläger 2 ist das Gericht auf seine Klage schliesslich nicht einge- treten (act. 49 E. 13). Gegen diesen Beschluss haben die Kläger vor Bundesgericht Beschwerde erho- ben (vgl. act. 56 S. 3). Mit Urteil vom 14. Dezember 2021 hat das Bundesgericht die Beschwerde abgewiesen, soweit es darauf eingetreten ist. Es hält fest, dass die Beschwerdeführer die Klage als einfache Streitgenossen eingereicht haben (act. 56 E. 6.1). Gleichzeitig weist es darauf hin, dass es Gegenstand des Sachur- teils sein würde, zu bestimmen, welche Art von Gläubigerschaft (Einzelgläubiger- schaft, gemeinschaftliche Gläubigerschaft oder Teilgläubigerschaft) vorliege und wie das Rechtsbegehren im Lichte der Klagebegründung auszulegen sei (act. 56 E. 5.3). Dies ist nachfolgend zu prüfen.</w:t>
      </w:r>
    </w:p>
    <w:p>
      <w:r>
        <w:rPr>
          <w:b/>
        </w:rPr>
        <w:t>E. 1.4</w:t>
      </w:r>
    </w:p>
    <w:p>
      <w:r>
        <w:t>Bestimmtheit des Rechtsbegehrens Rechtsbegehren sind inhaltlich so bestimmt zu fassen, dass sie bei Gutheissung ohne Weiteres zum Urteil erhoben werden können, und dass das Urteil vollstreckt werden kann (vgl. Art. 84 Abs. 1 und Art. 221 Abs. 1 lit. b ZPO; LEUENBERGER, in: Sutter-Somm/Hasenböhler/Leuenberger [Hrsg.], Kommentar ZPO, 3. Aufl. 2016, Art. 221 N 28 ff. m.w.N.). Begehren, denen die Bestimmtheit fehlt, sind von den Gerichten nach dem Grundsatz von Treu und Glauben und dem Verbot des über- spitzten Formalismus im Lichte der Klagebegründung auszulegen und in diesem Sinne von Amtes wegen zu präzisieren, zu reduzieren und umzuformulieren (BGE 137 III 617 E. 6.2; Urteile BGer 5A_773/2018 E. 7.2; 5A_621/2012 E. 4.3). Das Gericht bleibt aufgrund des Dispositionsgrundsatzes an das Rechtsbegehren ge-</w:t>
      </w:r>
    </w:p>
    <w:p>
      <w:r>
        <w:t>- 10 - bunden (BGE 107 II 82 E. 2.b; 97 II 92 S. 93 f.; Urteile BGer 5A_345/2020 E. 6.6; 4A_460/2011 E. 2.1; je m.w.N.). Wird ein Prozess als einfache Streitgenossenschaft geführt, hat jeder einfache Streitgenosse den Prozess grundsätzlich unabhängig vom anderen zu führen (Art. 71 Abs. 3 ZPO) und entsprechend unabhängig vom anderen eigenständige Ansprüche geltend zu machen (Urteil BGer 4A_23/2018 E. 2.1). Auch wenn die einfachen Streitgenossen einen gemeinsamen Vertreter bezeichnen (Art. 72 ZPO) und eine gemeinsame Rechtsschrift einreichen, ist trotz Streitgenossenschaft in der Klage für jeden Streitgenossen ein eigenes Rechtsbegehren abzugeben (Ur- teil BGer 5A_773/2018 E. 7.3.2 m.w.N.). Mit dem vorliegenden Rechtsbegehren verlang(t)en die Kläger die Bezahlung ei- nes bestimmten Betrages an die Kläger, ohne anzugeben, welcher Kläger wel- chen eigenständigen Anspruch geltend machen will. In ihren Rechtsschriften füh- ren die Kläger aus, partnerschaftlich zusammengearbeitet zu haben, ohne nähere Angaben zum Innenverhältnis ihrer Vereinbarung zu machen (vgl. act. 1 Rz. 15, Rz. 17, Rz. 27, Rz. 33, Rz. 37; act. 34 Rz. 5; act. 40 Rz. 11, Rz. 13, Rz. 28, Rz. 56, Rz. 64, Rz. 68, Rz. 82). Sie stellen sich einzig auf den Standpunkt, dass sie für die Parteientschädigung solidarisch haften würden (act. 14 Rz. 5). Auf- grund seines Wortlauts wurde das Rechtsbegehren für das Vorliegen eines Ge- samthandverhältnisses formuliert (Zahlung eines bestimmten Betrages an beide Kläger). Dass die Klägerin 1 und der ehemalige Kläger 2 keine einfache Gesell- schaft und damit keine Gesamthandschaft bilde(te)n, und sie die vorliegende Kla- ge als einfache Streitgenossen eingereicht haben, wurde bereits verbindlich fest- gestellt (vgl. Erwägung 1.3). Angesichts des klaren Wortlauts des betragsmässig bestimmten Klagebegehrens besteht für eine Aufteilung der Ansprüche zwischen der Klägerin 1 und dem Kläger 2 kein Raum. Zugunsten der Klägerin 1, und da sie trotz Ausscheidens des Klägers 2 an der Klage festhält, kann immerhin davon ausgegangen werden, dass sie für sich gegen die Beklagte klagen wollte, wobei sie (weiterhin) den Gesamtbetrag fordert. Entsprechend ist das Rechtsbegehren formell nicht unzulässig (vgl. Urteil BGer 5A_773/2018 E. 7.3.3).</w:t>
      </w:r>
    </w:p>
    <w:p>
      <w:r>
        <w:t>- 11 -</w:t>
      </w:r>
    </w:p>
    <w:p>
      <w:r>
        <w:rPr>
          <w:b/>
        </w:rPr>
        <w:t>E. 2</w:t>
      </w:r>
    </w:p>
    <w:p>
      <w:r>
        <w:t>Art der Gläubigerschaft</w:t>
      </w:r>
    </w:p>
    <w:p>
      <w:r>
        <w:rPr>
          <w:b/>
        </w:rPr>
        <w:t>E. 2.1</w:t>
      </w:r>
    </w:p>
    <w:p>
      <w:r>
        <w:t>Parteistandpunkte Die Parteien äussern sich in ihren Rechtsschriften nicht zu dieser Frage (vgl. act. 59; act. 61). Die Klägerin 1 reichte am 11. Februar 2022 die erwähnte unzu- lässige Noveneingabe ins Recht, auf welche nicht weiter einzugehen ist (act. 59; act. 60; vgl. Erwägung 1.2).</w:t>
      </w:r>
    </w:p>
    <w:p>
      <w:r>
        <w:rPr>
          <w:b/>
        </w:rPr>
        <w:t>E. 2.2</w:t>
      </w:r>
    </w:p>
    <w:p>
      <w:r>
        <w:t>Rechtliches Im Leitentscheid BGE 140 III 150 fasst das Bundesgericht die verschiedenen Ar- ten von Gläubigerschaft bei Gläubigermehrheit zusammen. Eine Mehrzahl von Gläubigern kann an ein und derselben Forderung im Sinne einer Einzelgläubiger- schaft, einer gemeinschaftlichen Gläubigerschaft oder einer Teilgläubigerschaft berechtigt sein. Im Fall von Einzelgläubigerschaft ist jeder Gläubiger berechtigt, ohne Mitwirkung der andern (also selbständig), das Ganze und nicht nur einen Teil der Leistung zu verlangen. Der Schuldner hat dabei nur einmal zu leisten und wird dadurch befreit. Der wichtigste Typus der Einzelgläubigerschaft ist die in Art. 150 OR geregelte Solidargläubigerschaft, die vor allem beim gemeinsamen Bank- konto ("compte-joint") von Bedeutung ist. Bei der gemeinschaftlichen Gläubiger- schaft steht die gesamte Forderung den Gläubigern ungeteilt zu, und zwar so, dass alle Gläubiger die Forderung nur gemeinsam geltend machen können. Um- gekehrt kann der Schuldner sich nicht durch Leistung an einen einzelnen Gläubi- ger befreien, sondern nur durch Gesamtleistung an alle Gläubiger. Bei der Teil- gläubigerschaft sind mehrere Gläubiger unabhängig voneinander pro rata an ei- ner teilbaren Forderung berechtigt, wobei die Leistung in ihrer Gesamtheit nur einmal zu erbringen ist. Jeder Gläubiger kann selbständig den ihm zustehenden Teil der Leistung verlangen und der Schuldner muss den entsprechenden Teil an jeden Gläubiger separat leisten. Das Bundesgericht folgt in seinem Leitentscheid, in dem es um den Verkauf eines Grundstücks geht, der herrschenden Lehre, wel- che die Teilgläubigerschaft als gesetzlichen Regelfall ansieht. Es folgert, allein der Umstand, dass ein Grundstück als Ganzes veräussert werde, lasse nicht darauf schliessen, dass die Verkäufer in Bezug auf die Kaufpreisforderung eine gemein-</w:t>
      </w:r>
    </w:p>
    <w:p>
      <w:r>
        <w:t>- 12 - schaftliche Gläubigerschaft bildeten, geschweige denn, dass sie gesamthände- risch berechtigt seien (BGE 140 III 150 E. 2.2 m.w.N.). Ferner rechtfertigt es sich gemäss gefestigter Rechtsprechung des Bundesge- richts für den Fall, dass mehrerer Mäkler in denselben Verkaufsprozess involviert sind, die Bedeutung der Tätigkeit der Mäkler innerhalb der zum Erfolg führenden Zusammenhänge gegenseitig abzuwägen und jedem von ihnen nach Massgabe seines Anteils am Erfolg einen entsprechenden Anteil am Mäklerlohn zukommen zu lassen (BGE 72 II 421 E. 3; Urteile BGer 2C_638/2020 E. 3.3.3; 4C_178/2001 E. 3.b).</w:t>
      </w:r>
    </w:p>
    <w:p>
      <w:r>
        <w:rPr>
          <w:b/>
        </w:rPr>
        <w:t>E. 2.3</w:t>
      </w:r>
    </w:p>
    <w:p>
      <w:r>
        <w:t>Subsumtion Der Klägerin 1 ist es – wie vorstehend ausgeführt – nicht gelungen, das Vorliegen eines Gesamthandverhältnisses zwischen ihr und dem ehemaligen Kläger 2 dar- zulegen (vgl. Erwägung 1.3). Insofern scheidet die gemeinschaftliche Gläubiger- schaft von vornherein aus. Zu prüfen bleibt, ob die Kläger je einzeln berechtigt sind, den Gesamtanspruch zu verlangen, oder ob den Klägern jeweils ein be- stimmter Teil an der Forderung zusteht. Das Rechtsbegehren, das so auszulegen ist, dass die Klägerin 1 trotz Ausschei- dens des Klägers 2 weiterhin den Gesamtbetrag von der Beklagten fordert (vgl. dazu Erwägung 1.4), sowie der Umstand, dass die Kläger angeben, für eine allfäl- lige Parteientschädigung solidarisch zu haften (vgl. act. 14 Rz. 5), sprechen zwar für das Vorliegen von Einzelgläubigerschaft. Ein Abweichen vom gesetzlich vor- gesehenen Regelfall der Teilgläubigerschaft rechtfertigt sich aufgrund dieser sehr dürftigen Angaben der Kläger jedoch nicht. Vielmehr ist den Ausführungen der Kläger – abgesehen von der pauschalen Nennung der "partnerschaftlichen Zu- sammenarbeit" und des Zusammenschlusses als "einfache Gesellschaft […] zur Erreichung eines gemeinsamen Zweckes" – zu entnehmen, dass ab Februar 2019 zunächst die Klägerin 1 allein tätig gewesen sein soll (Phase 1) und ab Mai 2019 der Kläger 2 dazu gestossen sei (Phase 2). Während die Klägerin 1 in Pha- se 1 allein tätig gewesen sei, sei der Kläger 2 in Phase 2 aktiv vermittelnd tätig gewesen. Die Klägerin 1 habe in Phase 2 vor allem via die E._____ mit der Be-</w:t>
      </w:r>
    </w:p>
    <w:p>
      <w:r>
        <w:t>- 13 - klagten kommuniziert und sei vom Kläger 2 (mit-)vertreten worden (act. 1 Rz. 15 ff.; act. 40 Rz. 8, Rz. 11 f., Rz. 56 ff., Rz. 64, Rz. 66, Rz. 68, Rz. 75, Rz. 78, Rz. 80). Nach dieser Sachverhaltsdarstellung war die Klägerin 1 zunächst allein für die Beklagte tätig. In der Phase 2 schloss sie sich mit dem Kläger 2 zusammen, wo- bei die Beklagte ihre gemeinsame Vertragspartnerin war. Eine interne Absprache bezüglich des Mäklerlohns und wie dieser aufgeteilt werden soll, wurde nicht dar- gelegt. Der Zusammenschluss der Kläger ist daher als gemeinsamer Vertrag zu qualifizieren, bei dem mehrere Vertragsgenossen (die Kläger) auf einer Vertrags- seite kontrahieren, ohne dass unter ihnen ein Gesamthandverhältnis besteht. Je- dem Kläger steht ein individualisierbarer Anteil am Mäklerlohn zu, mithin bilden die Kläger eine Teilgläubigerschaft. Daher ist die Klägerin 1 nur berechtigt, den ihr zustehenden Anteil des Mäklerlohns einzuklagen. Zu diesem Anteil hat sie jedoch keine Angaben gemacht (vgl. act. 1; act. 14; act. 34; act. 40; Erwägung 3 nachfol- gend).</w:t>
      </w:r>
    </w:p>
    <w:p>
      <w:r>
        <w:rPr>
          <w:b/>
        </w:rPr>
        <w:t>E. 2.4</w:t>
      </w:r>
    </w:p>
    <w:p>
      <w:r>
        <w:t>Fazit Die Kläger sind mit Blick auf die eingeklagte Forderung als Teilgläubiger zu quali- fizieren. Jeder Teilgläubiger ist berechtigt, den ihm zustehenden (Teil-)Anspruch der Forderung selbständig zu verlangen, und der Schuldner muss den entspre- chenden Anteil an jeden Gläubiger separat leisten. Die Klägerin 1 hat keine An- gaben hinsichtlich des ihr zustehenden Teils der Forderung gemacht.</w:t>
      </w:r>
    </w:p>
    <w:p>
      <w:r>
        <w:rPr>
          <w:b/>
        </w:rPr>
        <w:t>E. 3</w:t>
      </w:r>
    </w:p>
    <w:p>
      <w:r>
        <w:t>Begründung des Rechtsbegehrens</w:t>
      </w:r>
    </w:p>
    <w:p>
      <w:r>
        <w:rPr>
          <w:b/>
        </w:rPr>
        <w:t>E. 3.1</w:t>
      </w:r>
    </w:p>
    <w:p>
      <w:r>
        <w:t>Parteistandpunkte Die Klägerin 1 führt im Rahmen der Klagebegründung aus, mit der Beklagten die Höhe des Mäklerlohnes für sie und den Kläger 2 nicht ausdrücklich vereinbart zu haben. Nach dem Verkauf der Liegenschaft im Dezember 2019 habe der Kläger 2 der Beklagten Leistungen von ihm und der Klägerin 1 im Umfang von pauschal CHF 250'000.– (zzgl. 7.7 % MwSt.) in Rechnung gestellt. Die Rechnung sei nicht bezahlt worden. Mit der Klage macht sie nun einen Betrag von CHF 405'000.–</w:t>
      </w:r>
    </w:p>
    <w:p>
      <w:r>
        <w:t>- 14 - geltend. Sie erläutert, aus den Vertragsverhandlungen mit der späteren Käuferin, der G._____, könne konkludent auf die Vermittlungsprovision geschlossen wer- den. Sie hätten von einem Kaufpreis von CHF 13.1 Mio. ohne Vermittlungsprovi- sion und von CHF 13.5 Mio. mit Vermittlungsprovision gesprochen, was einen Mäklerlohn in der Höhe von rund CHF 400'000.– ergebe. Schliesslich führt die Klägerin 1 an, mangels Parteiabsprache und mangels vorhandener Tarife im Kan- ton Zürich eine ortsübliche Provision von 3 % des Kaufpreises von CHF 13.5 Mio., mithin CHF 405'000.–, einzuklagen (act. 1 Rz. 27 ff., Rz. 33, Rz. 39, Rz. 42; act. 3/25-29). Die Beklagte bestreitet jeglichen Provisionsanspruch der Klägerin 1 (act. 20 Rz. 4 ff.; act. 61 Rz. 6 ff.).</w:t>
      </w:r>
    </w:p>
    <w:p>
      <w:r>
        <w:rPr>
          <w:b/>
        </w:rPr>
        <w:t>E. 3.2</w:t>
      </w:r>
    </w:p>
    <w:p>
      <w:r>
        <w:t>Rechtliches Im vorliegenden Verfahren gilt – wie erwähnt – der Verhandlungsgrundsatz, d.h. es obliegt den Parteien, die Tatsachen des Verfahrens zusammenzutragen (Art. 55 Abs. 1 ZPO). Entsprechend trifft sie die Behauptungs-, Substantiierungs- und Beweislast sowie die Bestreitungslast (vgl. Erwägung 1.2.3). Gemäss Art. 8 ZGB hat diejenige Partei das Vorhandensein einer behaupteten Tatsache zu be- weisen, die aus ihr Rechte ableitet. Die andere Partei trifft die Gegenbeweislast (Urteil BGer 4A_82/2019 E. 2.1).</w:t>
      </w:r>
    </w:p>
    <w:p>
      <w:r>
        <w:rPr>
          <w:b/>
        </w:rPr>
        <w:t>E. 3.3</w:t>
      </w:r>
    </w:p>
    <w:p>
      <w:r>
        <w:t>Subsumtion Die Klägerin 1 fordert mit ihrer Klage 3 % des (angeblichen) Kaufpreises von CHF 13.5 Mio. als Mäklerlohn, was – gemäss ihrer Sachverhaltsdarstellung – dem gesamten, für diesen Verkauf geschuldeten Mäklerlohn entspricht. Sie be- gründet jedoch nicht, weshalb ihr der Mäklerlohn gesamthaft zustehen soll. Viel- mehr führt sie an, mit dem Kläger 2 zusammengearbeitet zu haben. Zudem sei auch die E._____, welcher ursprünglich das Exklusivmandat erteilt worden sei, weiterhin in den Verkaufsprozess involviert gewesen, wenn auch eher beratend (act. 1 Rz. 11; act. 40 Rz. 27, Rz. 64). Im Widerspruch dazu macht sie jedoch auch geltend, dass im Februar 2019 das Exklusivmandat zwischen der Beklagten</w:t>
      </w:r>
    </w:p>
    <w:p>
      <w:r>
        <w:t>- 15 - und der E._____ einvernehmlich aufgelöst worden sei (act. 40 Rz. 13). Aus dieser Begründung erhellt nicht, weshalb der Klägerin 1 der gesamte Mäklerlohn für den Verkauf der Liegenschaft zustehen soll, und sie liefert auch keine Anhaltspunkte, aus denen ihr Anspruch auf einen bestimmten Teil des Mäklerlohns hergeleitet werden könnte. Ferner ist ihre Begründung zur Höhe des geschuldeten Mäklerlohns inkohärent. Zunächst schildert sie, dass von der Beklagten aus Kulanz "bloss" eine Pauschale von CHF 250'000.– für sie und den Kläger 2 verlangt worden sei. Während der Vertragsverhandlung mit der G._____ sei von einem Mäklerlohn von CHF 400'000.– die Rede gewesen. Mit der Klage macht sie nun jedoch einen An- spruch von 3 % des Kaufpreises, d.h. den Betrag von CHF 405'000.–, geltend. Selbst wenn man der bestrittenen Tatsachendarstellung der Klägerin 1 folgt, steht fest, dass die Klägerin 1 als Teilgläubigerin zu qualifizieren ist (vgl. Erwä- gung 1.4). Als solche steht ihr nicht der gesamte Mäklerlohn (vom maximal gel- tend gemachten Betrag) von CHF 405'000.– zu. Mangels entsprechender Be- hauptungen ist eine Herleitung des Anteils, welcher der Klägerin 1 am Mäklerlohn zustehen soll, nicht möglich. Die Klägerin 1 ist ihrer Behauptungslast nicht nach- gekommen, weshalb die Klage vollumfänglich abzuweisen.</w:t>
      </w:r>
    </w:p>
    <w:p>
      <w:r>
        <w:rPr>
          <w:b/>
        </w:rPr>
        <w:t>E. 3.4</w:t>
      </w:r>
    </w:p>
    <w:p>
      <w:r>
        <w:t>Fazit Die Klägerin 1 begründet den – gemäss ihrer Ansicht geschuldeten – Mäklerlohn inkohärent. Insbesondere verzichtet sie auf Ausführungen dazu, welcher Anteil des gesamten Mäklerlohns ihr zustehen soll. Da weitere Mäkler in den Verkaufs- prozess involviert waren, hat die Klägerin 1 keinen Anspruch auf den vollen Mäk- lerlohn. Weil die Klägerin 1 ihrer Behauptungslast nicht nachgekommen ist, ist die Klage vollumfänglich abzuweisen.</w:t>
      </w:r>
    </w:p>
    <w:p>
      <w:r>
        <w:rPr>
          <w:b/>
        </w:rPr>
        <w:t>E. 4</w:t>
      </w:r>
    </w:p>
    <w:p>
      <w:r>
        <w:t>Zusammenfassung In formeller Hinsicht ist die Noveneingabe der Klägerin 1 mangels Erbringung des Sorgfaltsnachweises unzulässig und somit unbeachtlich. Die Kläger haben bis zum Ausscheiden des Klägers 2 aus dem vorliegenden Prozess eine einfache</w:t>
      </w:r>
    </w:p>
    <w:p>
      <w:r>
        <w:t>- 16 - Streitgenossenschaft gebildet, wobei ihr Rechtsbegehren für das Vorliegen eines Gesamthandverhältnisses formuliert wurde. Zugunsten der Klägerin 1 ist das Rechtsbegehren so auszulegen, dass sie von der Beklagten (weiterhin) den Ge- samtbetrag des Mäklerlohns fordert. Dieses Rechtsbegehren ist genügend be- stimmt. In materieller Hinsicht ist die Art der Gläubigerschaft zwischen der Klägerin 1 und dem Kläger 2 als Teilgläubigerschaft zu qualifizieren. Entsprechend ist die Kläge- rin 1 nur berechtigt, ihren Anteil an der Gesamtforderung einzuklagen. Da sie je- doch den Gesamtanspruch einklagt, ohne anzugeben, welches ihr Anteil ist, kommt sie ihrer Behauptungslast nicht nach. Die Klage ist abzuweisen.</w:t>
      </w:r>
    </w:p>
    <w:p>
      <w:r>
        <w:rPr>
          <w:b/>
        </w:rPr>
        <w:t>E. 5</w:t>
      </w:r>
    </w:p>
    <w:p>
      <w:r>
        <w:t>Kosten- und Entschädigungsfolgen</w:t>
      </w:r>
    </w:p>
    <w:p>
      <w:r>
        <w:rPr>
          <w:b/>
        </w:rPr>
        <w:t>E. 5.1</w:t>
      </w:r>
    </w:p>
    <w:p>
      <w:r>
        <w:t>Gerichtskosten Die Höhe der Gerichtskosten bestimmt sich nach der Gebührenverordnung des Obergerichts (Art. 96 ZPO i.V.m. § 199 Abs. 1 GOG). Sie richtet sich in erster Li- nie nach dem Streitwert (§ 2 Abs. 1 lit. a GebV OG). Dieser beläuft sich im vorlie- genden Verfahren auf CHF 405'000.–. Die Grundgebühr beträgt CHF 18'900.– (§ 4 Abs. 2 GebV OG). Das Verfahren gestaltete sich in prozessualer Hinsicht durch die Mehrfachbehandlung der Anträge auf Sicherstellung der Parteientschä- digung und die Noveneingabe als relativ aufwändig, was einen Zuschlag zur Grundgebühr rechtfertigt (§ 4 Abs. 2 GebV OG). Andererseits ist eine gewisse Reduktion angezeigt, weil sich das Verfahren in materieller Hinsicht als nicht allzu komplex erweist (§ 4 Abs. 2 GebV OG). Insgesamt erscheint eine Gerichtsgebühr von rund 150 % der Grundgebühr, d.h. CHF 28'000.–, als angemessen. Davon in Abzug zu bringen ist der Anteil von CHF 8'000.–, der mit Teilentscheid vom 13. August 2021 dem Kläger 2 auferlegt wurde, sodass eine Gerichtsgebühr von CHF 20'000.– verbleibt (vgl. act. 49). Die Prozesskosten sind der unterliegenden Partei aufzuerlegen (Art. 106 Abs. 1 ZPO). Die Klägerin 1 unterliegt mit ihrer Klage vollumfänglich und mit Blick auf die prozessualen Anträgen mehrheitlich; die Abweisung des Gesuchs um Sicherstel-</w:t>
      </w:r>
    </w:p>
    <w:p>
      <w:r>
        <w:t>- 17 - lung der Parteientschädigung mit Verfügung vom 13. Oktober 2020 rechtfertigt keine Kostenausscheidung. Entsprechend ist der Klägerin 1 die verbleibende Ge- richtsgebühr im Umfang von CHF 20'000.– aufzuerlegen.</w:t>
      </w:r>
    </w:p>
    <w:p>
      <w:r>
        <w:rPr>
          <w:b/>
        </w:rPr>
        <w:t>E. 5.2</w:t>
      </w:r>
    </w:p>
    <w:p>
      <w:r>
        <w:t>Partei- und Umtriebsentschädigung Die Höhe der Parteientschädigung bestimmt sich nach der Verordnung des Ober- gerichts über die Anwaltsgebühren (Art. 105 Abs. 2 i.V.m. Art. 96 ZPO). Sie richtet sich in erster Linie nach dem Streitwert (§ 2 Abs. 1 lit. a AnwGebV). Beim vorlie- genden Streitwert beträgt die nach § 4 Abs. 1 AnwGebV ermittelte Grundgebühr CHF 21'500.–. Unter Berücksichtigung des Aufwands für die Vergleichsverhand- lung und die zweite Rechtsschrift, in der auch zur Noveneingabe Stellung ge- nommen wurde, ist eine Erhöhung der Grundgebühr um 50 % auf insgesamt CHF 32'250.– angezeigt (§ 11 Abs. 1 und Abs. 2 AnwGebV). Davon in Abzug zu bringen ist wiederum der Anteil von CHF 12'500.–, der mit Teilentscheid vom 13. August 2021 dem Kläger 2 auferlegt wurde, was eine verbleibende Parteient- schädigung von CHF 19'750.– ergibt (vgl. act. 49). Die unterliegende Partei hat der obsiegenden eine Parteientschädigung zu ent- richten (Art. 106 Abs. 1 ZPO). Da die Klägerin 1 vollumfänglich unterliegt, hat sie der Beklagten die Parteientschädigung zu bezahlen. Diese ist der Beklagten di- rekt von der Obergerichtskasse aus der von der Klägerin 1 dafür geleisteten Si- cherheit zu entrichten (vgl. act. 36; act. 39). Der von der Beklagten beantragte Mehrwertsteuerzusatz ist dieser nicht zuzu- sprechen, da die fehlende Berechtigung zum Vorsteuerabzug nicht nachgewiesen ist (Kreisschreiben der Verwaltungskommission des Obergerichts vom 17. Mai 2006 Ziff. 2.1.1 S. 3; Urteil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