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HG190170 vom 27. Juli 2020</w:t>
      </w:r>
    </w:p>
    <w:p>
      <w:r>
        <w:t>Zh Handelsgericht, 2020-07-27, DE</w:t>
      </w:r>
    </w:p>
    <w:p>
      <w:r>
        <w:rPr>
          <w:b/>
        </w:rPr>
        <w:t xml:space="preserve">Quelle: </w:t>
      </w:r>
      <w:r>
        <w:t>https://mcp.opencaselaw.ch/entscheid/zh_handelsgericht_HG190170</w:t>
      </w:r>
    </w:p>
    <w:p>
      <w:r>
        <w:t>FR: ZH_HANDELSGERICHT HG190170 du 27 juillet 2020</w:t>
      </w:r>
    </w:p>
    <w:p>
      <w:r>
        <w:t>IT: ZH_HANDELSGERICHT HG190170 del 27 luglio 2020</w:t>
      </w:r>
    </w:p>
    <w:p>
      <w:pPr>
        <w:pStyle w:val="Heading2"/>
      </w:pPr>
      <w:r>
        <w:t>Erwägungen</w:t>
      </w:r>
    </w:p>
    <w:p>
      <w:r>
        <w:rPr>
          <w:b/>
        </w:rPr>
        <w:t>E. 3</w:t>
      </w:r>
    </w:p>
    <w:p>
      <w:r>
        <w:t>Kosten- und Entschädigungsfolgen</w:t>
      </w:r>
    </w:p>
    <w:p>
      <w:r>
        <w:rPr>
          <w:b/>
        </w:rPr>
        <w:t>E. 3.1</w:t>
      </w:r>
    </w:p>
    <w:p>
      <w:r>
        <w:t>Gerichtskosten Die Höhe der Gerichtskosten bestimmt sich nach der Gebührenverordnung des Obergerichts vom 8. September 2010 (GebV OG; Art. 96 ZPO i.V.m. § 199 Abs. 1 GOG ZH). Sie richtet sich in erster Linie nach dem Streitwert (§ 2 Abs. 1 lit. a GebV OG), welcher die Basis zur Berechnung der Grundgebühr bildet (§ 4 Abs. 1 GebV OG). Der Streitwert wird durch das Rechtsbegehren bestimmt (Art. 91 Abs. 1 ZPO) und beläuft sich vorliegend auf CHF 100'000.– per Klageeinleitung. Bei diesem Streitwert beträgt die Grundgebühr rund CHF 9'000.–. Aufgrund der vorliegenden Verfahrenserledigung ist sie auf CHF 6'750.– zu reduzieren (§ 10 Abs. 1 GebV OG). Aufgrund ihres vollumfänglichen Unterliegens sind die Ge- richtskosten der Klägerin aufzuerlegen (Art. 106 Abs. 1 ZPO) und aus dem von ihr geleisteten Kostenvorschuss zu decken.</w:t>
      </w:r>
    </w:p>
    <w:p>
      <w:r>
        <w:t>- 21 -</w:t>
      </w:r>
    </w:p>
    <w:p>
      <w:r>
        <w:rPr>
          <w:b/>
        </w:rPr>
        <w:t>E. 3.2</w:t>
      </w:r>
    </w:p>
    <w:p>
      <w:r>
        <w:t>Parteientschädigung Vorliegend hat die Beklagte eine Parteientschädigung beantragt, welche ihr auf- grund ihres vollumfänglichen Obsiegens zuzusprechen ist (Art. 105 Abs. 2 und Art. 106 Abs. 1 ZPO; ZK ZPO-JENNY, Art. 105 N 6). Bei berufsmässig vertretenen Parteien richtet sich die Höhe der Parteientschädigung nach der Verordnung über die Anwaltsgebühren vom 8. September 2010 (AnwGebV; Art. 95 Abs. 3 lit. b und Art. 96 ZPO i.V.m. § 48 Abs. 1 lit. c und Abs. 2 des Anwaltsgesetzes vom 17. November 2003). Grundlage für die Festsetzung der Höhe der Parteientschä- digung bildet in erster Linie der Streitwert (§ 2 Abs. 1 lit. a AnwGebV), aufgrund dessen die Grundgebühr berechnet wird (§ 4 Abs. 1 AnwGebV). Gestützt auf den vorliegenden Streitwert von CHF 100'000.– und in Anwendung von § 4 Abs. 1 und Abs. 2 sowie § 11 Abs. 1 AnwGebV ist die Klägerin zu verpflichten, der Beklagten eine Parteientschädigung in der Höhe von CHF 11'000.– zu bezahlen, wobei sie direkt von der Obergerichtskasse aus der von der Klägerin dafür geleisteten Si- cherheit auszubezahlen ist.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