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HG190018 vom 18. November 2020</w:t>
      </w:r>
    </w:p>
    <w:p>
      <w:r>
        <w:t>Zh Handelsgericht, 2020-11-18, DE</w:t>
      </w:r>
    </w:p>
    <w:p>
      <w:r>
        <w:rPr>
          <w:b/>
        </w:rPr>
        <w:t xml:space="preserve">Quelle: </w:t>
      </w:r>
      <w:r>
        <w:t>https://mcp.opencaselaw.ch/entscheid/zh_handelsgericht_HG190018</w:t>
      </w:r>
    </w:p>
    <w:p>
      <w:r>
        <w:t>FR: ZH_HANDELSGERICHT HG190018 du 18 novembre 2020</w:t>
      </w:r>
    </w:p>
    <w:p>
      <w:r>
        <w:t>IT: ZH_HANDELSGERICHT HG190018 del 18 novembre 2020</w:t>
      </w:r>
    </w:p>
    <w:p>
      <w:pPr>
        <w:pStyle w:val="Heading2"/>
      </w:pPr>
      <w:r>
        <w:t>Erwägungen</w:t>
      </w:r>
    </w:p>
    <w:p>
      <w:r>
        <w:rPr>
          <w:b/>
        </w:rPr>
        <w:t>E. 2</w:t>
      </w:r>
    </w:p>
    <w:p>
      <w:r>
        <w:t>Parteibehauptungen</w:t>
      </w:r>
    </w:p>
    <w:p>
      <w:r>
        <w:rPr>
          <w:b/>
        </w:rPr>
        <w:t>E. 2.1</w:t>
      </w:r>
    </w:p>
    <w:p>
      <w:r>
        <w:t>Ein einfacher Auftrag bzw. ein Mäklervertrag kann jederzeit widerrufen oder gekündigt werden. Erfolgt die Kündigung zur Unzeit, so ist der zurücktretende Teil zum Ersatze des dem anderen verursachten Schadens verpflichtet (Art. 404 OR u.U. i.V.m. Art. 412 Abs. 2 OR). Dieses jederzeitige Beendigungsrecht ist zwin- gender Natur. Es darf weder vertraglich wegbedungen noch eingeschränkt wer- den (BGE 115 II 464 E. 2 S. 465 f., BGer 4A_196/2020 vom 16. Juli 2020 E. 6.1.).</w:t>
      </w:r>
    </w:p>
    <w:p>
      <w:r>
        <w:rPr>
          <w:b/>
        </w:rPr>
        <w:t>E. 2.2</w:t>
      </w:r>
    </w:p>
    <w:p>
      <w:r>
        <w:t>Ein Vertrag, für den die schriftliche Form vorgeschrieben ist, muss die Un- terschrift aller Personen tragen, die durch ihn verpflichtet werden sollen (Art. 13 Abs. 1 OR). Nach Art. 16 Abs. 1 OR wird vermutet, dass die Parteien vor Erfül- lung der Form nicht verpflichtet sein wollen. Diese Vermutung bezweckt den Schutz der Partei, die zum Zustandekommen einer rechtlichen Bindung eine Er- klärung abzugeben hat. Es wird zu ihrem Schutz vermutet, sie wolle an ihre Wil- lenserklärung nur gebunden sein, wenn sie schriftlich erfolgt. Dieser Grundsatz gilt auch für die Fälle, in denen jemand ein vertraglich eingeräumtes Gestaltungs-</w:t>
      </w:r>
    </w:p>
    <w:p>
      <w:r>
        <w:t>- 50 - recht ausübt, z.B. einen Vertrag kündigt. Ist für eine Gestaltungserklärung, mit der ein Erklärender ein Rechtsverhältnis umformt, die Schriftlichkeit vereinbart, so ist zu vermuten, dass der Erklärende die sich daraus ergebenden Verpflichtungen und Verzichte erst auf sich nehmen will, wenn er seinen Willen in der vorbehalte- nen Form geäussert hat (BGE 138 III 123 E. 2.4.1. S. 127 f.). 3. Würdigung</w:t>
      </w:r>
    </w:p>
    <w:p>
      <w:r>
        <w:rPr>
          <w:b/>
        </w:rPr>
        <w:t>E. 3</w:t>
      </w:r>
    </w:p>
    <w:p>
      <w:r>
        <w:t>Rechtliches Die Voraussetzungen des Honoraranspruchs eines Vermittlungsmäklers bzw. ei- nes Beauftragten, dessen Honorar vom Eintritt eines Erfolges abhängig ist, wur- den bereits dargetan (vgl. oben, E. III.C.2.2. f. S. 12 ff.). Zu ergänzen ist Folgen- des: Die Erfolgsbedingtheit des Provisionsanspruches unterwirft diesen den all-</w:t>
      </w:r>
    </w:p>
    <w:p>
      <w:r>
        <w:t>- 41 - gemeinen Bestimmungen über die Bedingungen (Art. 151 ff. OR). Ob der Auf- traggeber mit dem ihm vermittelten Geschäftspartner ein Zielgeschäft eingeht, ist eine künftige, ungewisse und vom freien Willen des Auftraggebers abhängige Tatsache (sog. potestative Suspensivbedingung). Der Provisionsanspruch steht zudem unter der weitern (stillschweigenden) Bedingung – namentlich, solange ei- ne nachvertragliche Provisionspflicht nicht verabredet wurde – dass die Einwilli- gung des Auftraggebers zum Zielgeschäft während der Vertragsdauer erfolgt (AL- LEMANN/VON DER CRONE, M&amp;A-Transaktionsberatung im Grenzbereich von Auftrag und Mäklervertrag, SZW 2018, S. 432, 445). Angesichts des Umstandes, dass der Auftraggeber das Mandat jederzeit beenden kann (Art. 404 Abs. 1 OR, u.U. i.V.m. Art. 412 Abs. 2 OR) oder – soweit das Mandat befristet ist – dessen Ende abwarten kann, steht der Fortbestand des vertraglichen Honoraranspruchs unter der resolutiven Potestativbedingung der ausbleibenden Kündigung bzw. des treu- en Verhaltens des Auftraggebers. Schliesslich ist es der Vertrag, der dem Mäkler bzw. Beauftragten die Honoraranspruchsgrundlage verschafft. Der Auftraggeber darf dabei, solange die Bedingung schwebt, nichts unternehmen, was die gehöri- ge Erfüllung seiner Verbindlichkeiten hindern könnte (Art. 152 Abs. 1 OR). Tut er es wider Treu und Glauben, gilt die Bedingung als eingetreten (Art. 156 OR). Die Zustimmung des Auftraggebers zum Zielgeschäft gilt daher als während der Ver- tragsdauer eingetreten, wenn der Auftraggeber den Vertrag widerruft oder einen befristeten Vertrag ablaufen lässt, um nachher "provisionsfrei" mit einem vom Mäkler bzw. Beauftragten vermittelten Interessenten abzuschliessen (BGE 76 II 386; 85 II 525). Der Auftraggeber kann sich nicht durch ein absichtlich herbeige- führtes oder treuwidrig abgewartetes Vertragsende seiner Provisionspflicht ent- ziehen, obschon der Mäkler bzw. der Beauftragte bereits den vertraglich geschul- deten Beitrag zur Transaktion geleistet hat.</w:t>
      </w:r>
    </w:p>
    <w:p>
      <w:r>
        <w:rPr>
          <w:b/>
        </w:rPr>
        <w:t>E. 3.1</w:t>
      </w:r>
    </w:p>
    <w:p>
      <w:r>
        <w:t>Eine Kündigung durch die Beklagte ist sowohl zur Begründung eines An- spruchs auf Schadenersatz gestützt auf Art. 404 Abs. 2 OR als auch zur Begrün- dung eines Anspruchs auf eine Auflösungsgebühr ("Break-up Fee", vgl. act. 3/6 Ziff. 7 und oben E. III.C.1. S. 12) notwendig. Gemäss Ziffer 7 kann die Kündigung jederzeit erfolgen. Sie muss aber schriftlich und unter Einhaltung einer zehntägi- gen Kündigungsfrist erfolgen. Mit der jederzeitigen Kündigungsmöglichkeit ent- spricht der Vertrag Art. 404 Abs. 1 OR. Durch die Bindung an eine Form und an eine Frist wird das jederzeitige Kündigungsrecht weder vertraglich wegbedungen noch in unzulässiger Weise eingeschränkt. Es darf weiterhin jederzeit – unter Einhaltung der Form und der Frist – ausgeübt werden. Ein solcher Form- und Fristvorbehalt ist mit dem zwingenden Recht nach Art. 404 Abs. 1 OR vereinbar (OGer ZH RT140144 vom 16. Februar 2015, E. 7.1).</w:t>
      </w:r>
    </w:p>
    <w:p>
      <w:r>
        <w:rPr>
          <w:b/>
        </w:rPr>
        <w:t>E. 3.2</w:t>
      </w:r>
    </w:p>
    <w:p>
      <w:r>
        <w:t>Die Ausführungen der Klägerin zur Kündigung bzw. zur Beendigung des Vertrages sind nicht schlüssig. Zunächst behauptet sie (act. 1 Rz. 27) – überein- stimmend mit der Beklagten (act. 22 Rz. 116) – es sei vorliegend nicht zu einer Kündigung gekommen. Später behauptet die Klägerin aber demgegenüber, die Beklagte habe die Vertragsbeziehung implizit beendet (act 18 Rz. 146). Aufgrund dieses Widerspruches erweist sich der Tatsachenvortrag der Klägerin betreffend die Beendigung des Vertrages als unschlüssig; die Subsumtion des Sachverhalts unter Ziffer 7 des Vertrages ist mangels Gewissheit darüber, ob nun eine Kündi- gung bzw. Beendigung des Vertrages stattgefunden hat oder nicht, nicht möglich. Alleine deshalb sind die Begehren der Klägerin abzuweisen (vgl. E. III.B. S. 8 f.).</w:t>
      </w:r>
    </w:p>
    <w:p>
      <w:r>
        <w:rPr>
          <w:b/>
        </w:rPr>
        <w:t>E. 3.3</w:t>
      </w:r>
    </w:p>
    <w:p>
      <w:r>
        <w:t>Den klägerischen Begehren wäre indes auch dann kein Erfolg beschieden, stellte man lediglich auf ihre Ausführungen in der Duplik ab (act. 18 Rz. 142 ff.).</w:t>
      </w:r>
    </w:p>
    <w:p>
      <w:r>
        <w:t>- 51 - Der Vertrag setzt in Ziffer 7 Ingress ausdrücklich eine schriftliche Kündigung vo- raus ("written notice"). Dass eine solche schriftliche Kündigung vorliegt, behauptet die Klägerin aber gerade nicht. Es ist deshalb zu vermuten, dass die Beklagte den Vertrag nicht kündigte. Dabei bleibt es auch deshalb, weil die Klägerin nicht be- hauptete, dem Formvorbehalt komme lediglich deklarative Wirkung zu, bzw. die Parteien hätten die Formabrede stillschweigend bzw. konkludent aufgehoben. 4. Fazit Zusammenfassend ist festzustellen, dass der Anspruch der Klägerin auf eine Auf- lösungsgebühr bzw. auf Schadenersatz infolge Kündigung zur Unzeit mangels bewiesener und hierzu vorausgesetzter Kündigung abzuweisen ist. Ausführungen dazu, ob die Kündigung zur Unzeit erfolgte und ob das Angebot der T._____ SA ein Term Sheet bzw. eine verbindliche schriftliche Offerte im Sinne von Ziffer 7 lit. a) des Vertrages ist, erübrigen sich damit. H. Zusammenfassung und Fazit 1. Im Jahr 2017 suchte die Beklagte einen Investor für eine Wachstumsfinan- zierung. Zwecks Unterstützung hierbei, schloss sie am 24. August 2017 mit der Klägerin den als "Engagement Letter" bezeichneten Vertrag ab. In der Folge schloss die Beklagte ein Finanzierungsgeschäft mit der E._____ LLP ab. Diesen Geschäftsabschluss tätigte die Beklagte ohne die Unterstützung der Klägerin. Die Klägerin gelangte deshalb mit vorliegender Klage ans Handelsgericht. 2. Die Klägerin verlangte im Hauptstandpunkt die Verurteilung der Beklagten zur Bezahlung der Erfolgsprovision. Die normative Auslegung des Vertrages hat ergeben, dass die Parteien weder eine Provisionsgarantie noch einen Verzicht auf das Leistungserfordernis vereinbart haben. Infolgedessen besteht der Anspruch der Klägerin auf eine Erfolgsprovision nur, sofern sie den vertraglich geschuldeten Beitrag zum Zustandekommen der Transaktion zwischen der Beklagten und der E._____ LLP geleistet hat. Dies hat sie nicht. Ein Kausalzusammenhang ist zu- dem nicht gegeben. Die Klägerin konnte nicht beweisen, dass die Beklagte in der Transaktion mit E._____ LLP auf die Arbeitsergebnisse der Klägerin zurückgriff.</w:t>
      </w:r>
    </w:p>
    <w:p>
      <w:r>
        <w:t>- 52 - Ein Provisionsanspruch gestützt auf Art. 156 OR scheidet aus, da auch ein sol- cher einen Beitrag der Klägerin zur Transaktion voraussetzt. 3. Die Klägerin beantragte im Eventualstandpunkt Schadenersatz infolge posi- tiver Vertragsverletzung, da die Beklagte die vertraglich vereinbarte Exklusivitäts- klausel verletzt habe. Die objektive Auslegung des Vertrages ergab keine Pflicht der Beklagten, die Klägerin in den Verhandlungs- und Transaktionsprozess mit der E._____ LLP miteinzubeziehen. Im Weiteren hat die Klägerin nicht dargetan, inwiefern die Koordination der Verhandlungen der Klägerin mit der E._____ LLP notwendig war, um Ineffizienzen zu vermeiden. Abschliessend ist es der Klägerin nicht gelungen, den Schaden genügend zu substantiieren. 4. Im Subeventualstandpunkt machte die Klägerin Ansprüche infolge Kündi- gung des Vertrages geltend. Namentlich machte sie einen Anspruch auf eine Auf- lösungsgebühr ("Break-up Fee") sowie einen Anspruch auf Schadenersatz infolge Kündigung zur Unzeit geltend. Der Klägerin gelang indes der Nachweis nicht, dass der Vertrag vom 24. August 2017 je durch die Beklagte gekündigt wurde.</w:t>
      </w:r>
    </w:p>
    <w:p>
      <w:r>
        <w:rPr>
          <w:b/>
        </w:rPr>
        <w:t>E. 3.4</w:t>
      </w:r>
    </w:p>
    <w:p>
      <w:r>
        <w:t>Eine Pflichtverletzung der Beklagten ist indes selbst dann nicht rechtsgenü- gend von der Klägerin behauptet worden, hätte es die Beklagte gänzlich unterlas- sen, die Klägerin über ihre Verhandlungen mit der E._____ LLP zu informieren. Die Beklagte war nämlich nur dann zur Information und Koordination verpflichtet, soweit dies notwendig war, um Ineffizienzen zu vermeiden. Die Klägerin behaup- tet aber nicht, dass die Information der Beklagten über deren Verhandlungen mit der E._____ LLP notwendig gewesen wäre, um Ineffizienzen zu vermeiden. Sie behauptet nicht, dass die unterlassene Information und Koordination ein ungeord- netes, aufwändigeres Verfahren zur Folge hatte. Die Klägerin macht auch keine</w:t>
      </w:r>
    </w:p>
    <w:p>
      <w:r>
        <w:t>- 47 - Ausführungen dazu, zu welchem Zeitpunkt die Beklagte verpflichtet gewesen wä- re, sie über deren eigene Bemühungen zu informieren.</w:t>
      </w:r>
    </w:p>
    <w:p>
      <w:r>
        <w:rPr>
          <w:b/>
        </w:rPr>
        <w:t>E. 3.5</w:t>
      </w:r>
    </w:p>
    <w:p>
      <w:r>
        <w:t>Ungenügend substantiiert ist sodann die Behauptung der Klägerin, die Be- klagte habe P._____ als Berater im Zusammenhang mit der streitgegenständli- chen Transaktion beauftragt. Die Klägerin führt nicht aus, wann und mit welchem Inhalt die Beklagte P._____ beauftragt haben soll und inwiefern sich dieser Auf- trag mit jenem der Klägerin überschnitt. Schliesslich beweist weder die zeitliche Nähe der Rekrutierung P._____s als CFO der Beklagten noch die Erwähnung dieses Umstandes auf der Website von E._____ LLP, dass P._____ von der Be- klagten beauftragt wurde, sie im Transaktionsprozess zu beraten (vgl. act. 19/90). Gegenteiliges kann auch nicht aus P._____s Tätigkeit bei der Q._____ Invest- ment GmbH herausgelesen werden (vgl. act. 19/84).</w:t>
      </w:r>
    </w:p>
    <w:p>
      <w:r>
        <w:rPr>
          <w:b/>
        </w:rPr>
        <w:t>E. 3.6</w:t>
      </w:r>
    </w:p>
    <w:p>
      <w:r>
        <w:t>Selbst wenn die Klägerin eine Pflichtverletzung der Beklagten dargetan hät- te, wäre ihrem Schadenersatzbegehren kein Erfolg beschieden. Ihr Schadener- satzanspruch würde sich auf den Ausgleich der Ineffizienzen bzw. auf Ersatz der Mehrkosten beschränken, die durch unnötige und zusätzliche Aufwände entstan- den sind, weil die Beklagte es unterliess, die Beklagte über ihre Verhandlungen mit E._____ LLP zu informieren und ihr Vorgehen abzusprechen. Nur diese Mehrkosten entsprechen dem Erfüllungsinteresse. Inwiefern darüberhinausge- hend die Erfolgsprovision Teil des Erfüllungsinteresses der Klägerin sein soll, ist nicht ersichtlich. Mit dem Ersatz der Mehrkosten wäre die Klägerin bereits so ge- stellt, wie wenn die Beklagte ihrer Information- bzw. Koordinationspflicht nachge- kommen wäre. Solche Mehrkosten macht die Klägerin nicht substantiiert geltend: Ihre Ausführungen beschränken sich allgemein auf den Aufwand, den sie im Zu- sammenhang mit dem Mandat gehabt zu haben behauptet (vgl. act. 18 Rz. 106 ff.). Inwiefern es sich hierbei um ersatzfähige Mehrkosten handelt, erklärt die Klä- gerin nicht.</w:t>
      </w:r>
    </w:p>
    <w:p>
      <w:r>
        <w:rPr>
          <w:b/>
        </w:rPr>
        <w:t>E. 3.7</w:t>
      </w:r>
    </w:p>
    <w:p>
      <w:r>
        <w:t>Ein Schaden ist indes auch dann nicht schlüssig dargetan, würde der Kläge- rin zugestimmt, dass bei der Schadensberechnung von der vollen Erfolgsprovisi- on ausgegangen werden müsste. Aufgrund des Umstandes, dass ein Schaden nur die Verminderung des Reinvermögens ist, wären von der vollen Erfolgsprovi-</w:t>
      </w:r>
    </w:p>
    <w:p>
      <w:r>
        <w:t>- 48 - sion nicht nur jene Aufwendungen in Abzug zu bringen, welche die Klägerin be- reits in Erfüllung des Vertrages hatte. Anzurechnen wären zusätzlich auch die Aufwendungen, welche die Klägerin erspart hat, indem sie die vertragsgemässen Leistungen nicht erbringen musste. Die Klägerin macht zwar Angaben zu den Aufwänden, welche sie im Zusammenhang mit dem Mandat behaupteterweise hatte (vgl. act. 18 Rz. 106 ff.). Welche Aufwände sie ersparte, indem sie keine Ressourcen einsetzen musste, um die Beklagte im Transaktions- und Verhand- lungsprozess mit der E._____ LLP zu unterstützen und zu beraten, legt sie nicht dar. Die Klägerin unterlässt es gänzlich, diesbezüglich Behauptungen aufzustel- len. 4. Fazit Das Schadenersatzbegehren der Klägerin ist mangels nachgewiesener Pflichtver- letzung sowie mangels substantiiert behauptetem Schaden abzuweisen. Ausfüh- rungen zu den übrigen Haftungsvoraussetzungen erübrigen sich. G. Ansprüche infolge Kündigung 1. Parteibehauptungen 1.1. Klägerin 1.1.1. Die Klägerin behauptet zusammengefasst, die Voraussetzungen der Break- Up Fee gemäss Ziffer 7 lit. a) des Vertrages seien erfüllt: Die Beklagte habe den Vertrag beendet und es habe ein qualifiziertes Angebot vorgelegen, das die Be- klagte abgelehnt habe (act. 18 Rz. 142 ff.). Zu einer Kündigung sei es nicht ge- kommen (act. 1 Rz. 27). Die Beklagte habe den Vertrag implizit beendet, indem sie an der Telefonkonferenz vom 28. November 2018 die Identität der E._____ LLP nicht offengelegt habe, sie die Klägerin in der Folge nicht in den Transakti- ons- und Verhandlungsprozess miteinbezogen habe und die Offerte der T._____ SA am 12. Dezember 2018 abgelehnt habe (act. 1 Rz. 35, 18 Rz. 145). Mit die- sem Verhalten habe die Beklagte auf die Arbeit der Klägerin verzichtet, was einer Beendigung des Vertrages im Sinne von Ziffer 7 desselben gleichkomme (act. 18 Rz. 146). Diese Beendigung sei zur Unzeit erfolgt. Die Klägerin hätte ihre Res-</w:t>
      </w:r>
    </w:p>
    <w:p>
      <w:r>
        <w:t>- 49 - sourcen anders eingesetzt, hätte die Beklagte ihr früher mitgeteilt, dass sie das Angebot der T._____ SA ablehnen würde. Nachdem die Beklagte das unverbind- liche Angebot der T._____ SA vom 20. Juli 2018 unterschrieben habe, habe die Klägerin nicht daran zweifeln müssen, dass die Beklagte an der Weiterverfolgung dieses Angebots interessiert gewesen sei. Im Vertrauen darauf habe die Klägerin ihre Tätigkeiten ab Juli 2018 ausgebaut. Sie habe 69% ihres Gesamtaufwandes ab August 2018 erbracht. Daher sei die Beendigung des Vertrages durch die Be- klagte, zu welcher die Klägerin keinen begründeten Anlass gegeben habe, hin- sichtlich des Zeitpunkts und aufgrund der bereits von der Klägerin getätigten Dis- positionen nachteilig gewesen (act. 1 Rz. 40, 18 Rz. 189 ff.; Rz. 240 f.). 1.2. Beklagte Die Beklagte bringt vor, sie habe den Vertrag weder beendet, noch habe sie dies zur Unzeit getan, noch habe sie implizit etwas zu verstehen gegeben. Eine Kün- digung hätte zudem schriftlich erfolgen müssen. Sie habe nicht konkludent auf das Schriftformerfordernis verzichtet (act. 22 Rz. 116, 150 ff., 184). 2. Rechtliches</w:t>
      </w:r>
    </w:p>
    <w:p>
      <w:r>
        <w:rPr>
          <w:b/>
        </w:rPr>
        <w:t>E. 4</w:t>
      </w:r>
    </w:p>
    <w:p>
      <w:r>
        <w:t>Würdigung</w:t>
      </w:r>
    </w:p>
    <w:p>
      <w:r>
        <w:rPr>
          <w:b/>
        </w:rPr>
        <w:t>E. 4.1</w:t>
      </w:r>
    </w:p>
    <w:p>
      <w:r>
        <w:t>Die Auslegung des Vertrages hat ergeben, dass die Klägerin einen Beitrag zur Transaktion der Beklagten mit E._____ LLP geleistet haben muss, damit sie Anspruch auf eine Erfolgsprovision hat (E. III.D.2.3.1. S. 28 f.). Eine Provisionsga- rantie bzw. einen Verzicht auf das Leistungserfordernis haben die Parteien nicht</w:t>
      </w:r>
    </w:p>
    <w:p>
      <w:r>
        <w:t>- 42 - vereinbart. Zu untersuchen ist daher zunächst ob die Klägerin, einen Beitrag zur Transaktion der Beklagten mit der E._____ LLP geleistet hat.</w:t>
      </w:r>
    </w:p>
    <w:p>
      <w:r>
        <w:rPr>
          <w:b/>
        </w:rPr>
        <w:t>E. 4.2</w:t>
      </w:r>
    </w:p>
    <w:p>
      <w:r>
        <w:t>Wäre der Vertrag vom 24. August 2017 als einfacher Auftrag zu qualifizie- ren, hätte es der Klägerin oblegen, darzutun, dass sie alles für die Transaktion der Beklagten mit E._____ LLP Notwendige unternommen hat (BGE 144 III 43 E. 3.4.4. S. 51). Entsprechende Behauptungen stellt die Klägerin aber nicht auf. Der Anspruch auf eine Erfolgsprovision gestützt auf das Auftragsrecht allein ist daher abzuweisen. Wäre der Vertrag dagegen als Mäklervertrag zu qualifizieren, würde schon ein psychologischer Kausalzusammenhang genügen, um einen Pro- visionsanspruch zu begründen. Ob ein psychologischer Kausalzusammenhang, wie von der Klägerin behauptet, gegeben ist, ist nachfolgend zu untersuchen.</w:t>
      </w:r>
    </w:p>
    <w:p>
      <w:r>
        <w:rPr>
          <w:b/>
        </w:rPr>
        <w:t>E. 4.3</w:t>
      </w:r>
    </w:p>
    <w:p>
      <w:r>
        <w:t>Ob die Klägerin den Datenraum strukturiert hat und ob dieser Datenraum Dokumente enthielt, die von ihr erstellt wurden bzw. woran sie mitgewirkt hat, kann offenbleiben. Selbst wenn die Behauptungen der Klägerin zutreffen würden, würde ein Kausalzusammenhang voraussetzen, dass die Beklagte diese Arbeits- ergebnisse im Transaktionsprozess mit E._____ LLP verwendete. Dass dem so war, bestreitet die Beklagte (act. 22 Rz. 77, 79, 163). Damit wird die Klägerin für den Kausalzusammenhang behauptungs- und beweispflichtig (Art. 8 ZGB, Art. 150 Abs. 1 ZPO). Dies gelingt der Klägerin nicht. Selbst wenn als gegeben hinzu- nehmen wäre, dass N._____ am 20. Oktober 2018 in O._____, wo auch die E._____ LLP ihren Sitz hat, während einigen Minuten auf den Datenraum zuge- griffen, und bereits zuvor, am 28. September 2018, 409 von 600 Dokumenten aus dem Datenraum heruntergeladen hätte, beweist der Download alleine nicht, dass er dies tat, um diese Dokumente der E._____ LLP zugänglich zu machen. Aus der von der Klägerin eingereichten Zugriffsliste (act. 19/64) ergeben sich zahlrei- che Aktivitäten von N._____, der laut der Beklagten bei ihr als Controller tätig ist (act. 22 Rz. 73). Woraus sich ein zwingender Zusammenhang zwischen dem Download am 28. September 2018, dem kurzzeitigen (und von der Klägerin in- haltlich nicht näher konkretisierten) Zugriff am 20. Oktober 2018 und allfälligen Verhandlungen der Beklagten mit E._____ LLP ergeben soll, ist nicht ersichtlich und wird von der Klägerin auch nicht näher dargetan. Der Download mag zwar ein</w:t>
      </w:r>
    </w:p>
    <w:p>
      <w:r>
        <w:t>- 43 - für die Sachdarstellung der Klägerin sprechendes Indiz sein, und es kann davon ausgegangen werden, dass die E._____ LLP nicht ohne Hintergrundinformatio- nen in die Beklagte investiert hätte. Der Schluss jedoch, dass es die am 28. September 2018 heruntergeladenen Dokumente waren, die der E._____ LLP zur Verfügung gestellt wurden, ist rein spekulativ und wird durch keinerlei weitere Hinweise gestützt. Entgegen der Meinung der Klägerin (act. 18 Rz. 103 f.) ist es unter diesen Umständen auch nicht Sache der Beklagten, die Gründe für den Download näher dazulegen, zumal dieser allein keinen kausalen Zusammenhang mit der von E._____ getätigten Investition zu belegen vermöchte. Weitere Be- weismittel offeriert die Klägerin zur Tatsache der Verwendung von Dokumenten durch die Beklagte nicht (act. 18 Rz. 101, 103). Der Kausalzusammenhang bleibt damit unbewiesen.</w:t>
      </w:r>
    </w:p>
    <w:p>
      <w:r>
        <w:rPr>
          <w:b/>
        </w:rPr>
        <w:t>E. 4.4</w:t>
      </w:r>
    </w:p>
    <w:p>
      <w:r>
        <w:t>Unter diesen Umständen lässt sich der Kausalzusammenhang auch nicht fingieren (vgl. Art. 156 OR). Das künftige, ungewisse Ereignis, dessen Eintritt die Beklagte nicht treuwidrig verhindern durfte, war der Abschluss eines Zielgeschäfts bei bestehender Vertragsgrundlage, nachdem die Klägerin bereits den geschulde- ten Beitrag geleistet hatte. Das Erfordernis eines durch die Klägerin geleisteten Beitrags an das Zustandekommen der Transaktion ist aber eine Voraussetzung für den Lohnanspruch, keine Bedingung im Sinne von Art. 151 OR, deren Eintritt die Beklagte treuwidrig verhindern könnte.</w:t>
      </w:r>
    </w:p>
    <w:p>
      <w:r>
        <w:rPr>
          <w:b/>
        </w:rPr>
        <w:t>E. 5</w:t>
      </w:r>
    </w:p>
    <w:p>
      <w:r>
        <w:t>Die Klage ist abzuweisen.</w:t>
      </w:r>
    </w:p>
    <w:p>
      <w:r>
        <w:t>- 53 - IV. Kosten- und Entschädigungsfolgen 1. Die Höhe der Gerichtskosten bestimmt in erster Linie nach dem Streitwert (vgl. Art. 96 ZPO i.V.m. § 199 Abs. 1 GOG und § 2 Abs. 1 lit. a GebV OG); er bil- det die Basis zur Berechnung der Grundgebühr (§ 4 Abs. 1 GebV OG). Der Streitwert wird durch das Rechtsbegehren bestimmt; Zinsen, Kosten und Eventu- albegehren sind nicht hinzuzurechnen (Art. 91 Abs. 1 ZPO). Er beträgt EUR 970'000.– (act. 1 S. 2), bzw., da am Tag der Klageeinleitung ein Euro rund CHF 1.14 kostete, CHF 1'105'800.–. Die Grundgebühr beträgt damit rund CHF 32'000.–. Diese erscheint angesichts des Aufwands angemessen. Ausgangsge- mäss sind die Kosten der Klägerin aufzuerlegen (Art. 106 Abs. 1 Satz 1 ZPO) und aus dem von ihr geleisteten Kostenvorschuss zu beziehen (Art. 111 Abs. 1 Satz 1 ZPO). 2. Ausgangsgemäss ist der Beklagten zudem eine Parteientschädigung zuzu- sprechen (Art. 106 Abs. 1 Satz 1 ZPO). Deren Höhe richtet sich nach der Verord- nung des Obergerichts über die Anwaltsgebühren vom 8. September 2010 (Anw- GebV; Art. 96 ZPO i.V.m. § 48 Abs. 1 lit. c und Abs. 2 AnwG ZH) und damit in ers- ter Linie nach dem Streitwert (§ 2 Abs. 1 lit. a AnwGebV). Vorliegend beträgt die nach § 4 Abs. 1 AnwGebV ermittelte Grundgebühr rund CHF 32'400.–. Unter Be- rücksichtigung des Aufwandes für die Vergleichsverhandlung und die zweite Rechtsschrift rechtfertigt es sich, diese um rund 40 % zu erhöhen (§ 11 Abs. 1 und 2 AnwGebV). Die Klägerin hat der Beklagten daher eine Parteientschädigung von rund CHF 45'400.– zu entrichten.</w:t>
      </w:r>
    </w:p>
    <w:p>
      <w:r>
        <w:t>- 54 -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