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HG180270 vom 11. Juni 2019</w:t>
      </w:r>
    </w:p>
    <w:p>
      <w:r>
        <w:t>Zh Handelsgericht, 2019-06-11, DE</w:t>
      </w:r>
    </w:p>
    <w:p>
      <w:r>
        <w:rPr>
          <w:b/>
        </w:rPr>
        <w:t xml:space="preserve">Quelle: </w:t>
      </w:r>
      <w:r>
        <w:t>https://mcp.opencaselaw.ch/entscheid/zh_handelsgericht_HG180270</w:t>
      </w:r>
    </w:p>
    <w:p>
      <w:r>
        <w:t>FR: ZH_HANDELSGERICHT HG180270 du 11 juin 2019</w:t>
      </w:r>
    </w:p>
    <w:p>
      <w:r>
        <w:t>IT: ZH_HANDELSGERICHT HG180270 del 11 giugno 2019</w:t>
      </w:r>
    </w:p>
    <w:p>
      <w:pPr>
        <w:pStyle w:val="Heading2"/>
      </w:pPr>
      <w:r>
        <w:t>Erwägungen</w:t>
      </w:r>
    </w:p>
    <w:p>
      <w:r>
        <w:rPr>
          <w:b/>
        </w:rPr>
        <w:t>E. 5</w:t>
      </w:r>
    </w:p>
    <w:p>
      <w:r>
        <w:t>Rechtliche 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wonach diese verpflichtet ist, die zu ihrem Tätigkeitsgebiet gehörenden Rechte wahrzunehmen. Der Beklagte fällt gemäss den unbestrittenen Angaben der Klägerin mit seinem Einzelunternehmen "B._____ RECHTSANWÄLTE" unter den Branchenbegriff "Rechtsanwälte, Notariate, Wirtschafts- und Unternehmensberatung, Immobilien- verwaltungen, Vermögensverwalter, Treuhand, Revision und Inkasso" im Sinne von Ziff. 6.4.3 des GT 8 VII bzw. des GT 9 VII. Daher ist er als grundsätzlich ver- gütungspflichtiger Nutzer passivlegitimiert.</w:t>
      </w:r>
    </w:p>
    <w:p>
      <w:r>
        <w:rPr>
          <w:b/>
        </w:rPr>
        <w:t>E. 5.2</w:t>
      </w:r>
    </w:p>
    <w:p>
      <w:r>
        <w:t>Rechtliche Grundlage</w:t>
      </w:r>
    </w:p>
    <w:p>
      <w:r>
        <w:t>- 6 -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 che, wie vorstehend bereits erwähnt, nur durch zugelassene Verwertungsgesell- schaften – wie die Klägerin eine ist – geltend gemacht werden (Art. 20 Abs. 4 URG). Art. 46 Abs. 1 URG bestimmt sodann, dass die Verwertungsgesellschaften für die von ihnen geforderten Vergütungen Tarife aufstellen. Der GT 8 VII umschreibt den Verwendungsbereich, die Bedingungen und die Vergütungen für das Vervielfältigen urheberrechtlich geschützter und veröffent- lichter Werke. Der Tarif umfasst zum einen die gesetzlich erlaubten, verwertungs- gesellschaftspflichtigen Verwendungen gemäss Art. 19 und 20 URG. Zum ande- ren umfasst der Tarif die über diesen Rahmen hinausgehenden zusätzlichen Nut- zungen, welche nicht zu den der Aufsicht des Staates unterstellten Verwertungs- bereichen gehören (Ziff. 1 GT 8 VII). Der GT 9 VII regelt gesetzlich erlaubte, ver- gütungspflichtige Nutzungen von geschützten Werken sowie Leistungen zum Ei- gengebrauch mittels betriebsinternen Netzwerken gemäss Art. 19 und 20 URG, soweit diese Nutzungen nicht bereits in anderen Tarifen geregelt sind. Der GT 9 VII bezieht sich auf Nutzer mit betriebsinternen Netzwerken, die über die entspre- chenden technischen Einrichtungen wie PC, Scanner oder ähnliche Geräte verfü- gen (Ziff. 1 GT 9 VII). Vorliegend ist davon auszugehen, dass der Beklagte sowohl Reprografiegeräte einsetzt als auch über ein betriebsinternes Netzwerk verfügt, so dass der Beklag- te im Sinne von Art. 19 Abs. 1 lit. c URG vergütungspflichtig ist und sowohl GT 8 VII wie auch GT 9 VII Anwendung finden. Um den geschuldeten Vergütungsbetrag zu bestimmen, hat die Klägerin grund- sätzlich mittels Erhebungsformular die nötigen Informationen zur Anzahl der An- gestellten und der Branchenzugehörigkeit der potenziellen Nutzer zu ermitteln.</w:t>
      </w:r>
    </w:p>
    <w:p>
      <w:r>
        <w:t>- 7 - Sie ist dabei auf die Mitwirkung der Werknutzer angewiesen, wobei Art. 51 Abs. 1 URG bestimmt, dass die Werknutzer – soweit zumutbar – den Verwertungsge- sellschaften alle Auskünfte erteilen müssen, welche diese für die Gestaltung, die Anwendung der Tarife sowie die Verteilung des Erlöses benötigen. Unterbleibt ei- ne solche Mitwirkung trotz schriftlicher Ermahnung, so sieht Ziff. 8.3 des GT 8 VII und GT 9 VII vor, dass die Verwertungsgesellschaft die notwendigen Angaben schätzen und gestützt darauf Rechnung stellen kann.</w:t>
      </w:r>
    </w:p>
    <w:p>
      <w:r>
        <w:rPr>
          <w:b/>
        </w:rPr>
        <w:t>E. 5.3</w:t>
      </w:r>
    </w:p>
    <w:p>
      <w:r>
        <w:t>Einschätzung und Berechnung des Vergütungsanspruchs Wie erwähnt unterblieb vorliegend eine Mitwirkung durch den Beklagten, weshalb die Klägerin richtigerweise eine Einschätzung gestützt auf Ziff. 6 ff. und insbeson- dere Ziff. 8.3 von GT 8 VII sowie Ziff. 8.3 von GT 9 VII unternahm. So wies sie den Beklagten der Branche "Rechtsanwälte, Notariate, Wirtschafts- und Unter- nehmensberatung, Immobilienverwaltungen, Vermögensverwalter, Treuhand, Re- vision und Inkasso" zu und schätzte die Anzahl Mitarbeiter auf 2-5. Dieser Ein- schätzung ist nichts entgegenzuhalten. Im Übrigen blieb diese Einschätzung ge- stützt auf die erwähnte Bestimmung seitens des Beklagten unbestritten. Gemäss Ziff. 6.4.3 des GT 8 VII errechnet sich somit für die Jahre 2017 bis 2018 eine Vergütung in der Höhe von je CHF 42.50, während sich aus Ziff. 6.4.3 des GT 9 VII für die Jahre 2017 bis 2018 eine Vergütung in Höhe von je CHF 35.– ergibt, was insgesamt unter Berücksichtigung der Mehrwertsteuer ein Total von CHF 158.90 ergibt.</w:t>
      </w:r>
    </w:p>
    <w:p>
      <w:r>
        <w:rPr>
          <w:b/>
        </w:rPr>
        <w:t>E. 5.4</w:t>
      </w:r>
    </w:p>
    <w:p>
      <w:r>
        <w:t>Verbindlichkeit der Einschätzung Gemäss unbestritten gebliebener Darstellung der Klägerin wurden dem Beklagten die Einschätzungen für die Jahre 2017 bis 2018 und die darauf basierende Be- rechnung zur Kenntnis gebracht. Sodann wird in der jeweiligen Rechnung auf die GT hingewiesen, aus welchen hervorgeht, dass die Schätzung durch den Beklag- ten anerkannt wird, wenn dieser die Schätzung nicht innert 30 Tagen nach Zustel- lung beanstandet (vgl. Ziff. 8.3 des GT 8 VII und GT 9 VII). Gegen das Vorgehen der Klägerin ist nichts einzuwenden und es blieb überdies unbestritten.</w:t>
      </w:r>
    </w:p>
    <w:p>
      <w:r>
        <w:t>- 8 -</w:t>
      </w:r>
    </w:p>
    <w:p>
      <w:r>
        <w:rPr>
          <w:b/>
        </w:rPr>
        <w:t>E. 5.5</w:t>
      </w:r>
    </w:p>
    <w:p>
      <w:r>
        <w:t>Zinsen Die Klägerin verlangt schliesslich für die Forderungen aus den Jahren 2017 bis 2018 (insgesamt CHF 158.90) Zins zu 5 % seit 9. Oktober 2018 (vgl. act. 1 S. 2). Gemäss Mahnschreiben vom 28. September 2018 wurde der Beklagte zur Bezah- lung der streitgegenständlichen Vergütungen dieses Zeitraumes bis spätestens am 8. Oktober 2018 aufgefordert (act. 1 Rz. 9; act. 3/6). Demnach fiel der Beklag- te hinsichtlich der Forderungen aus den Jahren 2017 bis 2018 mit Ablauf des</w:t>
      </w:r>
    </w:p>
    <w:p>
      <w:r>
        <w:rPr>
          <w:b/>
        </w:rPr>
        <w:t>E. 8</w:t>
      </w:r>
    </w:p>
    <w:p>
      <w:r>
        <w:t>Oktobers 2018 in Verzug. Entsprechend ist der Beklagte weiter zu verpflichten, der Klägerin einen Zins von 5 % auf dem Betrag von CHF 158.90 seit 9. Oktober 2018 zu bezahlen. 6. Kosten- und Entschädigungsfolgen 6.1. Gerichtskosten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CHF 158.90. Die nach § 4 Abs. 1 GebV OG ermittelte (minimale) ordentliche Gerichtsgebühr beträgt CHF 150.– und ist angesichts des im Verhältnis zum Streitwert hohen Zeitauf- wandes nach § 4 Abs. 2 GebV OG zu verdoppeln auf CHF 300.–. Die Gerichts- gebühr ist deshalb auf CHF 300.– festzusetzen und ausgangsgemäss dem Be- klagten aufzuerlegen (Art. 106 Abs. 1 ZPO). 6.2. Parteientschädigung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minimale Grundgebühr CHF 100.–. Diese kann bei besonders hohem Zeitaufwand um bis zu einem Drit- tel erhöht werden (§ 4 Abs. 2 AnwGebV). Die Klägerin verfasste eine Klageschrift</w:t>
      </w:r>
    </w:p>
    <w:p>
      <w:r>
        <w:t>- 9 - (abzüglich Parteibezeichnungen, Rechtsbegehren und Verzeichnisse) von im- merhin rund vier Seiten (act. 1) und reichte sechs Beilagen ein. Aufgrund dieser ausgewiesenen Arbeiten besteht selbst bei der maximalen Gebühr nach § 4 Abs. 1 und 2 AnwGebV (CHF 133.35) ein offensichtliches Missverhältnis zum Zeitaufwand der Klägerin. Die berechnete Gebühr ist damit in Anwendung von § 2 Abs. 2 AnwGebV praxisgemäss entsprechend auf CHF 650.– zu erhöhen. Die Parteientschädigung ist ohne Mehrwertsteuer zuzusprechen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