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HG180254 vom 27. Mai 2019</w:t>
      </w:r>
    </w:p>
    <w:p>
      <w:r>
        <w:t>Zh Handelsgericht, 2019-05-27, DE</w:t>
      </w:r>
    </w:p>
    <w:p>
      <w:r>
        <w:rPr>
          <w:b/>
        </w:rPr>
        <w:t xml:space="preserve">Quelle: </w:t>
      </w:r>
      <w:r>
        <w:t>https://mcp.opencaselaw.ch/entscheid/zh_handelsgericht_HG180254</w:t>
      </w:r>
    </w:p>
    <w:p>
      <w:r>
        <w:t>FR: ZH_HANDELSGERICHT HG180254 du 27 mai 2019</w:t>
      </w:r>
    </w:p>
    <w:p>
      <w:r>
        <w:t>IT: ZH_HANDELSGERICHT HG180254 del 27 maggio 2019</w:t>
      </w:r>
    </w:p>
    <w:p>
      <w:pPr>
        <w:pStyle w:val="Heading2"/>
      </w:pPr>
      <w:r>
        <w:t>Erwägungen</w:t>
      </w:r>
    </w:p>
    <w:p>
      <w:r>
        <w:rPr>
          <w:b/>
        </w:rPr>
        <w:t>E. 5</w:t>
      </w:r>
    </w:p>
    <w:p>
      <w:r>
        <w:t>Rechtliche Würdigung</w:t>
      </w:r>
    </w:p>
    <w:p>
      <w:r>
        <w:rPr>
          <w:b/>
        </w:rPr>
        <w:t>E. 5.1</w:t>
      </w:r>
    </w:p>
    <w:p>
      <w:r>
        <w:t>Aktiv- und Passivlegitimation Nach Art. 20 Abs. 4 URG können die gemäss Art. 20 Abs. 2 URG geschuldeten Vergütungen für den Eigengebrauch nur durch zugelassene Verwertungsgesell- schaften – wie die Klägerin eine ist – geltend gemacht werden. Die Aktivlegitima- tion der Klägerin ergibt sich aus Art. 44 URG, wonach diese verpflichtet ist, die zu ihrem Tätigkeitsgebiet gehörenden Rechte wahrzunehmen. Der Beklagte fällt gemäss den unbestrittenen Angaben der Klägerin mit seinem Einzelunternehmen "C._____" unter den Branchenbegriff "Detailhandel" im Sinne von Ziff. 6.3.10 des GT 8 VI bzw. des GT 9 VI sowie Ziff. 6.4.10 des GT 8 VII bzw. des GT 9 VII. Daher ist er als grundsätzlich vergütungspflichtiger Nutzer passivle- gitimiert.</w:t>
      </w:r>
    </w:p>
    <w:p>
      <w:r>
        <w:rPr>
          <w:b/>
        </w:rPr>
        <w:t>E. 5.2</w:t>
      </w:r>
    </w:p>
    <w:p>
      <w:r>
        <w:t>Rechtliche Grundlage</w:t>
      </w:r>
    </w:p>
    <w:p>
      <w:r>
        <w:t>- 6 -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wobei diese Vergütungsansprü- che, wie vorstehend bereits erwähnt, nur durch zugelassene Verwertungsgesell- schaften – wie die Klägerin eine ist – geltend gemacht werden (Art. 20 Abs. 4 URG). Art. 46 Abs. 1 URG bestimmt sodann, dass die Verwertungsgesellschaften für die von ihnen geforderten Vergütungen Tarife aufstellen. Sowohl der GT 8 VI als auch der GT 8 VII umschreiben den Verwendungsbereich, die Bedingungen und die Vergütungen für das Vervielfältigen urheberrechtlich ge- schützter und veröffentlichter Werke. Beide Tarife umfassen zum einen die ge- setzlich erlaubten, verwertungsgesellschaftspflichtigen Verwendungen gemäss Art. 19 und 20 URG. Zum anderen umfassen beide Tarife die über diesen Rah- men hinausgehenden zusätzlichen Nutzungen, welche nicht zu den der Aufsicht des Staates unterstellten Verwertungsbereichen gehören (Ziff. 1 GT 8 VI; Ziff. 1 GT 8 VII). Sowohl der GT 9 VI als auch der GT 9 VII regeln die gesetzlich erlaub- ten, vergütungspflichtigen Nutzungen von geschützten Werken sowie Leistungen zum Eigengebrauch mittels betriebsinternen Netzwerken gemäss Art. 19 und 20 URG, soweit diese Nutzungen nicht bereits in anderen Tarifen geregelt sind. Bei- de Tarife beziehen sich auf Nutzer mit betriebsinternen Netzwerken, die über die entsprechenden technischen Einrichtungen wie PC, Scanner oder ähnliche Gerä- te verfügen (Ziff. 1 GT 9 VI; Ziff. 1 GT 9 VII). Vorliegend ist davon auszugehen, dass der Beklagte sowohl Reprografiegeräte einsetzt als auch über ein betriebsinternes Netzwerk verfügt, so dass der Beklag- te im Sinne von Art. 19 Abs. 1 lit. c URG vergütungspflichtig ist und sowohl GT 8 VI resp. GT 8 VII wie auch GT 9 VI resp. GT 9 VII Anwendung finden. Um den geschuldeten Vergütungsbetrag zu bestimmen, hat die Klägerin grund- sätzlich mittels Erhebungsformular die nötigen Informationen zur Anzahl der An-</w:t>
      </w:r>
    </w:p>
    <w:p>
      <w:r>
        <w:t>- 7 - gestellten und der Branchenzugehörigkeit der potenziellen Nutzer zu ermitteln. Sie ist dabei auf die Mitwirkung der Werknutzer angewiesen, wobei Art. 51 Abs. 1 URG bestimmt, dass die Werknutzer – soweit zumutbar – den Verwertungsge- sellschaften alle Auskünfte erteilen müssen, welche diese für die Gestaltung, die Anwendung der Tarife sowie die Verteilung des Erlöses benötigen. Unterbleibt ei- ne solche Mitwirkung trotz schriftlicher Ermahnung, so sieht Ziff. 8.3 des GT 8 VI resp. GT 8 VII und GT 9 VI resp. GT 9 VII vor, dass die Verwertungsgesellschaft die notwendigen Angaben schätzen und gestützt darauf Rechnung stellen kann.</w:t>
      </w:r>
    </w:p>
    <w:p>
      <w:r>
        <w:rPr>
          <w:b/>
        </w:rPr>
        <w:t>E. 5.3</w:t>
      </w:r>
    </w:p>
    <w:p>
      <w:r>
        <w:t>Einschätzung und Berechnung des Vergütungsanspruchs Wie erwähnt unterblieb vorliegend eine Mitwirkung durch den Beklagten, weshalb die Klägerin richtigerweise eine Einschätzung gestützt auf Ziff. 6 ff. und insbeson- dere Ziff. 8.3 von GT 8 VI resp. GT 8 VII sowie Ziff. 8.3 von GT 9 VI resp. GT 9 VII unternahm. So wies sie den Beklagten der Branche "Detailhandel" zu und schätz- te die Anzahl Mitarbeiter auf 11-19. Dieser Einschätzung ist nichts entgegenzuhal- ten. Im Übrigen blieb diese Einschätzung gestützt auf die erwähnte Bestimmung seitens des Beklagten unbestritten. Für das Jahr 2016 errechnet sich somit gemäss Ziff. 6.3.10 des GT 8 VI eine Ver- gütung in der Höhe von CHF 40.–, während sich aus Ziff. 6.3.10 des GT 9 VI eine Vergütung in Höhe von CHF 20.– ergibt. Hinsichtlich der Jahre 2017 bis 2018 er- rechnet sich gemäss Ziff. 6.4.10 des GT 8 VII eine Vergütung in der Höhe von je CHF 34.–, während sich aus Ziff. 6.4.10 des GT 9 VII eine Vergütung in Höhe von je CHF 28.– ergibt. Unter Berücksichtigung der Mehrwertsteuer ergibt dies für die Jahre 2016 bis 2018 insgesamt somit ein Total von CHF 188.60.</w:t>
      </w:r>
    </w:p>
    <w:p>
      <w:r>
        <w:rPr>
          <w:b/>
        </w:rPr>
        <w:t>E. 5.4</w:t>
      </w:r>
    </w:p>
    <w:p>
      <w:r>
        <w:t>Verbindlichkeit der Einschätzung Gemäss unbestritten gebliebener Darstellung der Klägerin wurden dem Beklagten die Einschätzungen für die Jahre 2016 bis 2018 und die darauf basierende Be- rechnung zur Kenntnis gebracht. Sodann wird in der jeweiligen Rechnung auf die GT hingewiesen, aus welchen hervorgeht, dass die Schätzung durch den Beklag- ten anerkannt wird, wenn diese die Schätzung nicht innert 30 Tagen nach Zustel-</w:t>
      </w:r>
    </w:p>
    <w:p>
      <w:r>
        <w:t>- 8 - lung beanstandet (vgl. Ziff. 8.3 des GT 8 VI resp. GT 8 VII und GT 9 VI resp. GT 9 VII). Gegen das Vorgehen der Klägerin ist nichts einzuwenden und es blieb über- dies unbestritten.</w:t>
      </w:r>
    </w:p>
    <w:p>
      <w:r>
        <w:rPr>
          <w:b/>
        </w:rPr>
        <w:t>E. 5.5</w:t>
      </w:r>
    </w:p>
    <w:p>
      <w:r>
        <w:t>Zinsen Die Klägerin verlangt schliesslich für die Forderungen aus dem Jahr 2016 bis 2018 (insgesamt CHF 188.60) Zins zu jeweils 5 % seit 9. Oktober 2018 (vgl. act. 1 S. 2). Gemäss Mahnschreiben vom 28. September 2018 wurde der Beklagte zur Bezahlung der streitgegenständlichen Vergütungen dieses Zeitraumes bis spätes- tens am 8. Oktober 2018 aufgefordert (act. 1 Rz. 9; act. 3/6). Demnach fiel der Beklagte hinsichtlich der Forderungen aus den Jahren 2016 bis 2018 mit Ablauf des 8. Oktobers 2018 in Verzug. Entsprechend ist der Beklagte weiter zu ver- pflichten, der Klägerin einen Zins von 5 % auf dem Betrag von CHF 188.60 seit</w:t>
      </w:r>
    </w:p>
    <w:p>
      <w:r>
        <w:rPr>
          <w:b/>
        </w:rPr>
        <w:t>E. 9</w:t>
      </w:r>
    </w:p>
    <w:p>
      <w:r>
        <w:t>Oktober 2018 zu bezahlen. 6. Kosten- und Entschädigungsfolgen 6.1. Gerichtskosten Die Höhe der Gerichtsgebühr bestimmt sich nach der Gebührenverordnung des Obergerichts (Art. 96 ZPO i.V.m. Art. 199 Abs. 1 GOG) und richtet sich in erster Linie nach dem Streitwert bzw. nach dem tatsächlichen Streitinteresse (§ 2 Abs. 1 lit. a GebV OG). Vorliegend beträgt der Streitwert CHF 188.60. Die nach § 4 Abs. 1 GebV OG ermittelte (minimale) ordentliche Gerichtsgebühr beträgt CHF 150.– und ist angesichts des im Verhältnis zum Streitwert hohen Zeitauf- wandes nach § 4 Abs. 2 GebV OG zu verdoppeln auf CHF 300.–. Die Gerichts- gebühr ist deshalb auf CHF 300.– festzusetzen und ausgangsgemäss dem Be- klagten aufzuerlegen (Art. 106 Abs. 1 ZPO). 6.2. Parteientschädigung</w:t>
      </w:r>
    </w:p>
    <w:p>
      <w:r>
        <w:t>- 9 -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minimale Grundgebühr CHF 100.–. Diese kann bei besonders hohem Zeitaufwand um bis zu einem Drit- tel erhöht werden (§ 4 Abs. 2 AnwGebV). Die Klägerin verfasste eine Klageschrift (abzüglich Parteibezeichnungen, Rechtsbegehren und Verzeichnisse) von im- merhin rund vier Seiten (act. 1) und reichte sechs Beilagen ein. Aufgrund dieser ausgewiesenen Arbeiten besteht selbst bei der maximalen Gebühr nach § 4 Abs. 1 und 2 AnwGebV (CHF 133.35) ein offensichtliches Missverhältnis zum Zeitaufwand der Klägerin. Die berechnete Gebühr ist damit in Anwendung von § 2 Abs. 2 AnwGebV praxisgemäss entsprechend auf CHF 650.– zu erhöhen. Die Parteientschädigung ist ohne Mehrwertsteuer zuzusprechen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