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HG180215 vom 16. November 2020</w:t>
      </w:r>
    </w:p>
    <w:p>
      <w:r>
        <w:t>Zh Handelsgericht, 2020-11-16, DE</w:t>
      </w:r>
    </w:p>
    <w:p>
      <w:r>
        <w:rPr>
          <w:b/>
        </w:rPr>
        <w:t xml:space="preserve">Quelle: </w:t>
      </w:r>
      <w:r>
        <w:t>https://mcp.opencaselaw.ch/entscheid/zh_handelsgericht_HG180215</w:t>
      </w:r>
    </w:p>
    <w:p>
      <w:r>
        <w:t>FR: ZH_HANDELSGERICHT HG180215 du 16 novembre 2020</w:t>
      </w:r>
    </w:p>
    <w:p>
      <w:r>
        <w:t>IT: ZH_HANDELSGERICHT HG180215 del 16 novembre 2020</w:t>
      </w:r>
    </w:p>
    <w:p>
      <w:pPr>
        <w:pStyle w:val="Heading2"/>
      </w:pPr>
      <w:r>
        <w:t>Erwägungen</w:t>
      </w:r>
    </w:p>
    <w:p>
      <w:r>
        <w:rPr>
          <w:b/>
        </w:rPr>
        <w:t>E. 1</w:t>
      </w:r>
    </w:p>
    <w:p>
      <w:r>
        <w:t>zu verkaufen und den Verkaufserlös zur Tilgung ihres Darlehens zu verwenden. Im Zeitpunkt der Fälligkeit der Darlehensschuld am 25. April 2018 belief sich die Darlehensschuld der Klägerin inkl. Zinsen auf USD 160'187'911.11 (act. 1 Rz. 60 und 61 mit Hinweis auf act. 3/29 und 3/30).</w:t>
      </w:r>
    </w:p>
    <w:p>
      <w:r>
        <w:rPr>
          <w:b/>
        </w:rPr>
        <w:t>E. 1.7</w:t>
      </w:r>
    </w:p>
    <w:p>
      <w:r>
        <w:t>In der Folge weigerte sich die Beklagte, die Instruktionen auszuführen. Zur Begründung gab sie an, dass T._____ als wirtschaftlich berechtigte Person an der Klägerin seit dem tt. April 2018 als SDN auf der OFAC-Sanktionsliste aufgeführt sei. Die Beklagte war der Ansicht, dass es ihr aufgrund der OFAC-Sanktionen verboten sei, Transaktionen in USD im Zusammenhang mit der Klägerin vorzu- nehmen. Anstatt Wertschriften in USD entsprechend den klägerischen Anweisung zu verkaufen und das Darlehen zu tilgen, wandelte die Beklagte das am 25. April 2018 fällig gewordene Darlehen in Form eines festen Vorschusses ohne Einwilli- gung der Klägerin in einen Kontokorrentkredit um und belastete das betreffende Kontokorrentkonto mit einem damaligen Saldo von USD 126'542.91 mit einem Betrag von USD 160'187'911.11, so dass ein Negativsaldo von USD 160'061'368.20 entstand (act. 1 Rz. 65 f. mit Hinweis auf act. 3/29).</w:t>
      </w:r>
    </w:p>
    <w:p>
      <w:r>
        <w:rPr>
          <w:b/>
        </w:rPr>
        <w:t>E. 1.008</w:t>
      </w:r>
    </w:p>
    <w:p>
      <w:r>
        <w:t>CHF) von rund CHF 178'500'000. auszugehen. a. Bei diesem Streitwert ergibt sich eine Gerichtsgebühr (Grundgebühr ohne Zuschläge) von CHF 970'000.00. Dabei ist einerseits zu berücksichtigen, dass es nicht um die Bezahlung eines Geldbetrages, sondern um die Tilgung eines Darle- hens mit hinterlegten Vermögenswerten geht, was an sich eine gewisse Redukti- on zulassen würde. Andrerseits wird mit Rechtsbegehren Ziffer 5 verlangt, es sei der Beklagten die Blockierung der Vermögenswerte der Klägerin zu verbieten, wobei diese Vermögenswerte nach Tilgung des Darlehens von rund USD 160 Mi- o. immer noch USD 308 Mio. betragen sollen, so dass auch die Annahme eines höheren Streitwertes vertretbar wäre. Schliesslich fällt ins Gewicht, dass die nicht alltägliche Angelegenheit eine gewisse Komplexität hatte, was eine Erhöhung zu- lassen würde. Insgesamt erweist sich auch unter dem Gesichtspunkt des Äquiva- lenzprinzips eine Gerichtsgebühr in der Höhe der Grundgebühr von CHF 970'000.00 als angemessen. b. Bei einem Streitwert von rund CHF 178 Mio. beläuft sich die Grundgebühr der Parteientschädigung auf CHF 950'000.00. In dieser Höhe (bzw. genau ge- nommen im Betrag von CHF 952'000.00) wurde die Parteientschädigung sicher- gestellt (act. 17). Da die Grundgebühr mit der Erarbeitung der Klageantwort ver- dient ist (§ 11 Abs. 1 AnwGebV), in der Folge aber weitere Rechtsschriften einge- reicht wurden, rechtfertigt sich ein Zuschlag (§ 11 Abs. 2 AnwGebV), so dass die Parteientschädigung insgesamt auf CHF 1,1 Mio. festzusetzen ist.</w:t>
      </w:r>
    </w:p>
    <w:p>
      <w:r>
        <w:t>- 37 - Das Gericht erkennt:</w:t>
      </w:r>
    </w:p>
    <w:p>
      <w:r>
        <w:rPr>
          <w:b/>
        </w:rPr>
        <w:t>E. 1.8</w:t>
      </w:r>
    </w:p>
    <w:p>
      <w:r>
        <w:t>Aufgrund des fälligen und ausstehenden Darlehens teilte die Beklagte der Klägerin mit Schreiben vom 31. Mai 2018 mit, dass der Wert der unter dem Pfandvertrag hinterlegten Wertschriften nicht mehr zur Besicherung des Darle- hens ausreiche. Die Beklagte forderte die Klägerin daher auf, bis am 4. Juni 2018 die bestehende Unterdeckung in der Höhe von USD 156'923'614 zu beheben; andernfalls würde sie (die Beklagte) die klägerischen U._____-Aktien verwerten und den Verkaufserlös mit den fälligen Verbindlichkeiten der Klägerin verrechnen (act. 1 Rz. 7 und Rz. 83 ff., act. 22 Rz. 41 ff.). Nach Darstellung der Beklagten handelte es sich bei den nicht in US-Dollar denominierten U._____-Aktien im We-</w:t>
      </w:r>
    </w:p>
    <w:p>
      <w:r>
        <w:t>- 8 - sentlichen um die einzigen verwertbaren Wertschriften, weil die übrigen Vermö- genswerte in USD wegen der OFAC-Sanktionen blockiert seien (act. 22 Rz. 43).</w:t>
      </w:r>
    </w:p>
    <w:p>
      <w:r>
        <w:rPr>
          <w:b/>
        </w:rPr>
        <w:t>E. 1.9</w:t>
      </w:r>
    </w:p>
    <w:p>
      <w:r>
        <w:t>Aufgrund eines Massnahmebegehrens der Klägerin untersagte das Einzel- gericht des Handelsgerichts des Kantons Zürich mit superprovisorischer Verfü- gung vom 4. Juni 2018 der Beklagten, Vermögenswerte der Klägerin - insbeson- dere die U._____-Aktien - zur Tilgung der Kreditverbindlichkeiten zu verwerten (act. 23/3).</w:t>
      </w:r>
    </w:p>
    <w:p>
      <w:r>
        <w:rPr>
          <w:b/>
        </w:rPr>
        <w:t>E. 1.10</w:t>
      </w:r>
    </w:p>
    <w:p>
      <w:r>
        <w:t>Nach Eingang der Stellungnahme der Beklagten verbot das Einzelgericht am Handelsgericht mit Urteil vom 13. September 2018 (act. 3/8) im Rahmen des erwähnten Massnahmeverfahrens die Verwertung der U._____-Aktien zur Tilgung des Darlehens und setzte der Klägerin in Anwendung von Art. 263 ZPO eine Pro- sequierungsfrist an (act. 1 Rz. 8).</w:t>
      </w:r>
    </w:p>
    <w:p>
      <w:r>
        <w:rPr>
          <w:b/>
        </w:rPr>
        <w:t>E. 1.11</w:t>
      </w:r>
    </w:p>
    <w:p>
      <w:r>
        <w:t>Mit dem vorliegenden Verfahren prosequiert die Klägerin das Massnahme- verfahren. Die Klägerin verlangt mit der vorliegenden Klage im Wesentlichen, die obgenannten Wertpapiere zum Marktpreis zu verkaufen und mit dem Erlös das of- fene Darlehen zu tilgen. Die Beklagte beantragt die Abweisung der Klage.</w:t>
      </w:r>
    </w:p>
    <w:p>
      <w:r>
        <w:rPr>
          <w:b/>
        </w:rPr>
        <w:t>E. 2</w:t>
      </w:r>
    </w:p>
    <w:p>
      <w:r>
        <w:t>Prozessgeschichte</w:t>
      </w:r>
    </w:p>
    <w:p>
      <w:r>
        <w:rPr>
          <w:b/>
        </w:rPr>
        <w:t>E. 2.1</w:t>
      </w:r>
    </w:p>
    <w:p>
      <w:r>
        <w:t>Wie soeben erwähnt, verbot das Einzelgericht des Handelsgerichts Zürich mit Urteil vom 13. September 2018 der Beklagten im Rahmen eines Verfahrens bezüglich vorsorglicher Massnahmen, die auf dem Depot der Klägerin hinterleg- ten U._____-Aktien zur Tilgung der Kreditverbindlichkeit von rund USD 160 Mio. zu verwerten. Gleichzeitig setzte das Einzelgericht der Klägerin eine Frist bis am 12. November 2018 an, um den Prozess in der Hauptsache gegen die Beklagte anhängig zu machen (Verfahren HE180247).</w:t>
      </w:r>
    </w:p>
    <w:p>
      <w:r>
        <w:rPr>
          <w:b/>
        </w:rPr>
        <w:t>E. 2.2</w:t>
      </w:r>
    </w:p>
    <w:p>
      <w:r>
        <w:t>Mit Klage vom 12. November 2018 leitete die Klägerin unter Einhaltung der erwähnten Prosequierungsfrist das vorliegenden Verfahren vor Handelsgericht ein (HG180215) und stellte das eingangs erwähnte Rechtsbegehren (act. 1).</w:t>
      </w:r>
    </w:p>
    <w:p>
      <w:r>
        <w:t>- 9 -</w:t>
      </w:r>
    </w:p>
    <w:p>
      <w:r>
        <w:rPr>
          <w:b/>
        </w:rPr>
        <w:t>E. 2.3</w:t>
      </w:r>
    </w:p>
    <w:p>
      <w:r>
        <w:t>Nach Eingang des Kostenvorschusses (act. 5 und 8) und der Sicherstellung der Parteientschädigung (act. 17 und 19) erstattete die Beklagte die Klageantwort mit dem Antrag, die Klage sei vollumfänglich abzuweisen, soweit darauf einzutre- ten sei (act. 22 S. 2).</w:t>
      </w:r>
    </w:p>
    <w:p>
      <w:r>
        <w:rPr>
          <w:b/>
        </w:rPr>
        <w:t>E. 2.4</w:t>
      </w:r>
    </w:p>
    <w:p>
      <w:r>
        <w:t>Mit Schreiben vom 5. Juli 2019 beantragte die Klägerin, dass ein zweiter Schriftenwechsel anzuordnen sei (act. 28). Nachdem die Beklagte, der das Schreiben vom 5. Juli 2019 zur Kenntnis zugestellt wurde (act. 29), sich dazu nicht äusserte, ordnete das Gericht mit Verfügung vom 20. September 2019 einen zweiten Schriftenwechsel an (act. 30).</w:t>
      </w:r>
    </w:p>
    <w:p>
      <w:r>
        <w:rPr>
          <w:b/>
        </w:rPr>
        <w:t>E. 2.5</w:t>
      </w:r>
    </w:p>
    <w:p>
      <w:r>
        <w:t>Am 25. November 2019 reichte die Klägerin die Replik ein mit einem wie eingangs aufgeführt geringfügig ergänzten Rechtsbegehren (act. 32 [mit Ergän- zung in Rechtsbegehren Ziff. 1d]).</w:t>
      </w:r>
    </w:p>
    <w:p>
      <w:r>
        <w:rPr>
          <w:b/>
        </w:rPr>
        <w:t>E. 2.6</w:t>
      </w:r>
    </w:p>
    <w:p>
      <w:r>
        <w:t>Am 17. Februar 2020 reichte die Beklagte die Duplik ein und hielt an ihren Anträgen fest (act. 36).</w:t>
      </w:r>
    </w:p>
    <w:p>
      <w:r>
        <w:rPr>
          <w:b/>
        </w:rPr>
        <w:t>E. 2.7</w:t>
      </w:r>
    </w:p>
    <w:p>
      <w:r>
        <w:t>Mit Verfügung vom 19. Februar 2020 stellte das Gericht das Doppel der Duplik der Klägerin zu und hielt fest, dass der Aktenschluss eingetreten sei (act. 38).</w:t>
      </w:r>
    </w:p>
    <w:p>
      <w:r>
        <w:rPr>
          <w:b/>
        </w:rPr>
        <w:t>E. 2.8</w:t>
      </w:r>
    </w:p>
    <w:p>
      <w:r>
        <w:t>Mit Eingabe vom 27. Februar 2020 ersuchte die Klägerin um Ansetzung ei- ner Frist, um zu neuen Tatsachenbehauptungen und Beweismitteln in der Duplik Stellung zu nehmen (act. 40). Mit Verfügung vom 28. Februar 2020 wurde das Gesuch abgewiesen mit den Hinweisen, dass die Klägerin die Möglichkeit habe, im Rahmen des "unbedingten Replikrechtes" unaufgefordert eine Stellungnahme einzureichen, und dass für allfällige entscheidrelevante Dupliknoven zu gegebe- ner Zeit Frist zur Stellungnahme angesetzt würde (act. 41).</w:t>
      </w:r>
    </w:p>
    <w:p>
      <w:r>
        <w:rPr>
          <w:b/>
        </w:rPr>
        <w:t>E. 2.9</w:t>
      </w:r>
    </w:p>
    <w:p>
      <w:r>
        <w:t>Am 14. April 2020 reichte die Klägerin eine Noveneingabe ein (act. 43). Die- se wurde der Beklagten zur Kenntnis zugestellt, worauf am 27. April 2020 eine Stellungnahme der Beklagten zu dieser Eingabe einging (act. 45). Am 20. Mai 2020 ging eine Stellungnahme der Klägerin zur beklagtischen Eingabe ein (act. 46), worauf die Beklagte am 5. Juni 2020 zur Eingabe vom 20. Mai 2020</w:t>
      </w:r>
    </w:p>
    <w:p>
      <w:r>
        <w:t>- 10 - wiederum Stellung nahm (act. 49). Die beklagtische Eingabe vom 5. Juni 2020 wurde der Klägerin zur Kenntnis zugestellt. Mit Eingabe vom 4. September 2020 erkundigte sich die Klägerin nach der allfälligen Absicht des Handelsgerichts im Zusammenhang mit der Durchführung einer Hauptverhandlung (act. 50). Mit Ver- fügung vom 7. September 2020 wurde den Parteien Frist angesetzt, um zu erklä- ren, ob sie auf die Durchführung einer mündlichen Hauptverhandlung verzichteten (act. 51). In der Folge verzichtete die Beklagte auf die Durchführung einer mündli- chen Hauptverhandlung (act. 53), die Klägerin hingegen nicht (act. 54). So wur- den die Parteien am 28. September 2020 zur Hauptverhandlung auf den 23. Ok- tober 2020 vorgeladen (act. 56). Nachdem die Hauptverhandlung aufgrund einer coronabedingten Quarantäne nicht durchgeführt werden konnte (Prot. S. 20), teil- te die Klägerin mit Schreiben vom 21. Oktober 2020 mit, dass sie aufgrund der genannten Umstände auf die Durchführung der Hauptverhandlung verzichte, dass sie aber noch eine schriftliche Stellungnahme insbesondere zur Eingabe der Be- klagten vom 5. Juni 2020 einreichen werde (act. 59). Da in der Folge keine Stel- lungnahme der Klägerin einging, wurde den Parteien mit Verfügung vom 3. No- vember 2020 mitgeteilt, dass das Gericht nach Ablauf von 10 Tagen das Urteil fäl- len werde (act. 61). Am 10. November 2020 reichte die Klägerin eine Stellung- nahme ein (act. 63). Da diese Eingabe nichts neues Relevantes enthält, kann sie der Beklagten mit dem vorliegenden Urteil zugestellt werden.</w:t>
      </w:r>
    </w:p>
    <w:p>
      <w:r>
        <w:rPr>
          <w:b/>
        </w:rPr>
        <w:t>E. 3</w:t>
      </w:r>
    </w:p>
    <w:p>
      <w:r>
        <w:t>Formelles</w:t>
      </w:r>
    </w:p>
    <w:p>
      <w:r>
        <w:rPr>
          <w:b/>
        </w:rPr>
        <w:t>E. 3.1</w:t>
      </w:r>
    </w:p>
    <w:p>
      <w:r>
        <w:t>Da die Klägerin ihren Sitz in V._____ hat, liegt ein internationaler Sachver- halt vor. Art. 15 des "Credit Agreement" enthält eine Gerichtsstandsklausel, die eine alternative Zuständigkeit am Hauptsitz der Beklagten in Zürich oder der je- weiligen Schweizer Zweigniederlassung, mit welcher die Geschäftsbeziehung ge- führt wird, vorsieht (act. 3/9 S. 3). Das "General Pledge and Assignment Agree- ment" enthält eine identische Gerichtsstandsklausel (act. 3/10 S. 4). Die internati- onale und örtliche Zuständigkeit des Handelsgerichts Zürich ist daher zu bejahen, und sie ist im Übrigen auch unbestritten (act. 1 Rz. 23 ff., act. 22 Rz. 148). Auch die sachliche Zuständigkeit des Handelsgerichts des Kantons Zürich ist gegeben und unbestritten (act. 1 Rz. 31 ff. und act. 22 Rz. 148).</w:t>
      </w:r>
    </w:p>
    <w:p>
      <w:r>
        <w:t>- 11 -</w:t>
      </w:r>
    </w:p>
    <w:p>
      <w:r>
        <w:rPr>
          <w:b/>
        </w:rPr>
        <w:t>E. 3.2</w:t>
      </w:r>
    </w:p>
    <w:p>
      <w:r>
        <w:t>Mit Urteil vom 13. September 2018 setzte das Einzelgericht im Verfahren betreffend vorsorgliche Massnahmen (HE180247) der Klägerin eine Frist bis am 12. November 2018 an, um den Prozess in der Hauptsache gegen die Beklagte anhängig zu machen (act. 3/8 S. 12, Dispositiv-Ziffer 4). Mit Klage vom 12. No- vember 2018 leitete die Klägerin den vorliegenden Prozess in der Hauptsache ein (HG180215). Die Prosequierungsfrist ist damit eingehalten.</w:t>
      </w:r>
    </w:p>
    <w:p>
      <w:r>
        <w:rPr>
          <w:b/>
        </w:rPr>
        <w:t>E. 3.3</w:t>
      </w:r>
    </w:p>
    <w:p>
      <w:r>
        <w:t>Die Beklagte verneint ein schutzwürdiges Interesse an der Klage. Zur Be- gründung führt sie aus, dass der im Hauptrechtsbegehren beantragte Verkauf von Wertschriften zwecks anschliessender Tilgung des Darlehens nicht möglich sei und auch nicht vollstreckt werden könne, weil die ausländischen Hinterleger bei einer Transaktion betreffend US-Vermögenswerten, die einer sanktionierten Per- son gehörten, nicht mitwirken würden bzw. dürften (act. 22 Rz. 81 ff.). Dieser pro- zessuale Einwand ist nicht überzeugend. Ob eine Verwertung von Wertschriften in USD zwecks anschliessender Tilgung eines Darlehens möglich ist, ist eine ma- terielle Frage, die anschliessend zu prüfen ist. Dass die Klägerin ein Interesse an der Verwertung der Vermögenswerte zur Darlehenstilgung hat, wird auch von der Beklagten nicht bestritten und ist offensichtlich. Auf die Klage ist daher einzutre- ten.</w:t>
      </w:r>
    </w:p>
    <w:p>
      <w:r>
        <w:rPr>
          <w:b/>
        </w:rPr>
        <w:t>E. 3.4</w:t>
      </w:r>
    </w:p>
    <w:p>
      <w:r>
        <w:t>Nach der Rechtsprechung haben die Parteien Anspruch auf die Möglichkeit, zu den Eingaben der Gegenseite Stellung zu nehmen (BGE 138 I 484 E. 2.2. S. 486 m.w.H.). Die Duplik und die anschliessenden Eingaben wurden der jeweili- gen Gegenpartei zugestellt (Prot. S. 14 ff.), worauf jeweils neue Stellungnahmen eingingen (act. 43, 45, 46 und 49). Auch die letzte Eingabe der Beklagten vom</w:t>
      </w:r>
    </w:p>
    <w:p>
      <w:r>
        <w:rPr>
          <w:b/>
        </w:rPr>
        <w:t>E. 3.5</w:t>
      </w:r>
    </w:p>
    <w:p>
      <w:r>
        <w:t>Die Klageänderung durch Erweiterung des Rechtsbegehrens in der Replik ist zulässig, zumal es sich lediglich um eine Präzisierung des ursprünglichen Rechtsbegehrens handelt (vgl. act. 1 S. 2 ff. und act. 32 S. 3; Art. 227 ZPO). 4. Materielles 4.1. Beweisanträge der Klägerin 4.1.1. Gerichtliche Gutachten Die zentrale Frage des vorliegenden Verfahrens ist die Wirkung der US- Sanktionen des OFAC auf die Bankbeziehung einer sanktionierten Person mit ei- ner Schweizer Bank. In ihrer Replik beantragt die Klägerin die Einholung von drei gerichtlichen Gutachten (act. 32 Rz. 20 ff.), nämlich - zur Frage, ob die Klägerin eine sanktionierte Person sei und ob die umstritt- nen Wertschriftentransaktionen gegen die OFAC-Sanktionen verstiessen, - zur Frage der faktischen Abwicklung der streitgegenständlichen Wertschrif- tentransaktionen und - zur Frage der Relevanz des Schweizer Aufsichtsrechts für die Ausführung der streitgegenständlichen Instruktionen. 4.1.2. Würdigung a. Bei der Ermittlung der Tragweite der OFAC-Sanktionen geht es um den In- halt von US-Sanktionsrecht. Der Inhalt des ausländischen Rechts ist von Amtes wegen festzustellen, wobei die Mitwirkung der Parteien verlangt werden kann; bei vermögensrechtlichen Ansprüchen kann der Nachweis den Parteien überbunden werden (Art. 16 Abs. 1 IPRG, Art. 150 Abs. 2 ZPO). Gemäss diesen Bestimmun- gen gilt auch bei der Ermittlung von ausländischem Recht der Grundsatz "iura no- vit curia", wonach das Gericht das (ausländische) Recht von Amtes wegen ermit- telt und anwendet (BSK IPRG-Mächler-Erne, N. 5 zu Art. 16 IPRG). Die Mitwir- kung der Parteien bei der Ermittlung von ausländischem Recht bei vermögens- rechtlichen Ansprüchen erfolgt meistens ins Form von Urkunden oder einem Par- teigutachten (BSK ZPO-Guyan, 3. Auflage, N 8 zu Art. 150; Hasenböhler, in: Sut- ter-Somm/Hasenböhler/Leuenberger, ZPO-Kommentar, 3. Auflage, N. 24 zu</w:t>
      </w:r>
    </w:p>
    <w:p>
      <w:r>
        <w:t>- 13 - Art. 150). Im vorliegenden Fall liegen dem Gericht mehrere Parteigutachten über die hier interessierende Rechtslage vor. Zur Thematik der Wirkung der OFAC- Sanktionen beruft sich die Klägerin auf ein Rechtsgutachten von AA._____ vom 12. November 2018 (act. 3/17). Die Beklagte reichte bereits im Massnahmever- fahren ein Rechtsgutachten von AB._____ vom 19. Juni 2018 ein (act. 23/3); im vorliegenden Verfahren werden ein weiteres Rechtsgutachten vom 18. April 2019 (23/1) und ein Ergänzungsgutachten vom 24. Januar 2020 von AB._____ vorge- legt (act. 37/1). Das Gericht muss davon ausgehen, dass die jeweilige Rechtsauf- fassung aus der Optik der Parteien umfassend vorgetragen und alle relevanten Aspekte beleuchtet wurden. Sowohl die Beweiswürdigung als auch die Rechts- anwendung aufgrund der von den Parteien gelieferten Informationen sind nicht Aufgabe eines Gerichtsgutachters, sondern einzig jene des Gerichtes (BGE 119 III 93 S. 94 unten). Daher erübrigt sich in Bezug auf den Inhalt des US- Sanktionsrechts die Einholung eines Gerichtsgutachtens. b. In Bezug auf die Frage der Abwicklung von Wertschriftentransaktionen ist umstritten, ob ausländische Hinterlegungsstellen (Custodians) Wertschriften- transaktionen mit US-Bezug (in USD denominierte Wertschriften) verweigern würden. Die Klägerin geht davon aus, dass solche Transaktionen möglich seien und auch seit der Verhängung von US-Sanktionen gegen T._____ effektiv ausge- führt worden seien. Die Beklagte macht demgegenüber geltend, dass solche Transaktionen unmöglich seien, weil sich ausländische Custodians weigern wür- den, solche Transaktionen auszuführen. Diese Thematik beschlägt eine Sachver- haltsfrage. Insofern wären Beweiserhebungen - im Unterschied zur Ermittlung des Inhalts des ausländischen Rechts (i.c. des US Sanktionsrechts) - nicht ausge- schlossen. Allerdings wird sich zeigen, dass die Frage, ob ausländische Custodi- ans Wertschriftentransaktionen mit US-Bezug für die (allenfalls) sanktionierte Klä- gerin effektiv ausführen würden (so die Klägerin) oder ob solche Transaktionen zufolge Verweigerung der Custodians unmöglich seien (so die Beklagte), gar nicht rechtserheblich ist. Es erübrigt sich daher, auf das von der Beklagten eingereichte Parteigutachten von AC._____ vom 25. November 2019 betreffend Möglichkeit der Ausführung von Transaktionen unter Einbezug von Custodians einzugehen.</w:t>
      </w:r>
    </w:p>
    <w:p>
      <w:r>
        <w:t>- 14 - Aus dem gleichen Grund erübrigt sich auch die beantragte Einholung eines Ge- richtsgutachtens. c. Schliesslich beantragt die Beklagte die Einholung eines Gerichtsgutachtens zur Frage der Relevanz des Schweizer Aufsichtsrechts für die Ausführung der streitgegenständlichen Instruktionen. Auch diesem Antrag kann nicht entsprochen werden, weil es in diesem Bereich - im Unterschied zur Ermittlung von ausländi- schem Recht bei vermögensrechtlichen Ansprüchen (Art. 16 IPRG und Art. 150 Abs. 2 ZPO) - in jedem Fall um die Ermittlung von Schweizer Recht geht, in wel- chem Bereich uneingeschränkt der Grundsatz der Rechtsanwendung von Amtes wegen gilt (Art. 57 ZPO). Die Rechtsanwendung ist Sache des Gerichts und nicht eines Gutachters, weshalb die Einholung eines Gerichtsgutachtens in diesem Kontext nicht in Frage kommt. Dies schliesst allerdings nicht aus, dass die von den Parteien eingereichten Parteigutachten - die Klägerin beruft sich auf ein Gut- achten von AD._____ vom 25. November 2019 (act. 33/3) und die Beklagte auf ein Gutachten vom 23. April 2019 (act. 23/2) sowie ein Ergänzungsgutachten vom</w:t>
      </w:r>
    </w:p>
    <w:p>
      <w:r>
        <w:rPr>
          <w:b/>
        </w:rPr>
        <w:t>E. 5</w:t>
      </w:r>
    </w:p>
    <w:p>
      <w:r>
        <w:t>Prozesskosten</w:t>
      </w:r>
    </w:p>
    <w:p>
      <w:r>
        <w:rPr>
          <w:b/>
        </w:rPr>
        <w:t>E. 5.1</w:t>
      </w:r>
    </w:p>
    <w:p>
      <w:r>
        <w:t>Da die Klage abzuweisen ist, wird die Klägerin kosten- und entschädigungs- pflichtig.</w:t>
      </w:r>
    </w:p>
    <w:p>
      <w:r>
        <w:rPr>
          <w:b/>
        </w:rPr>
        <w:t>E. 5.2</w:t>
      </w:r>
    </w:p>
    <w:p>
      <w:r>
        <w:t>Ferner sind die noch nicht definitiv verlegten Kosten des Massnahmeverfah- rens (HE180247) definitiv der Klägerin aufzuerlegen.</w:t>
      </w:r>
    </w:p>
    <w:p>
      <w:r>
        <w:t>- 36 -</w:t>
      </w:r>
    </w:p>
    <w:p>
      <w:r>
        <w:rPr>
          <w:b/>
        </w:rPr>
        <w:t>E. 5.3</w:t>
      </w:r>
    </w:p>
    <w:p>
      <w:r>
        <w:t>Bei der Berechnung des Streitwertes ist zu berücksichtigen, dass es einer- seits um die Verwertung von Vermögenswerten zur Tilgung einer Darlehens- schuld von rund USD 160 Mio. (insbesondere Rechtsbegehren Ziffer 1) und and- rerseits um die Herausgabe von Dividenden- und Couponszahlungen in der Höhe von USD 17'279'540 geht (Rechtsbegehren Ziffer 4). Es rechtfertigt sich daher, von einem Streitwert von rund USD 177'279'540 bzw. zum massgebenden Um- rechnungskurs bei Einreichung der Klage am 13. November 2018 (1 USD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