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HG170100 vom 4. Oktober 2017</w:t>
      </w:r>
    </w:p>
    <w:p>
      <w:r>
        <w:t>Zh Handelsgericht, 2017-10-04, DE</w:t>
      </w:r>
    </w:p>
    <w:p>
      <w:r>
        <w:rPr>
          <w:b/>
        </w:rPr>
        <w:t xml:space="preserve">Quelle: </w:t>
      </w:r>
      <w:r>
        <w:t>https://mcp.opencaselaw.ch/entscheid/zh_handelsgericht_HG170100</w:t>
      </w:r>
    </w:p>
    <w:p>
      <w:r>
        <w:t>FR: ZH_HANDELSGERICHT HG170100 du 4 octobre 2017</w:t>
      </w:r>
    </w:p>
    <w:p>
      <w:r>
        <w:t>IT: ZH_HANDELSGERICHT HG170100 del 4 ottobre 2017</w:t>
      </w:r>
    </w:p>
    <w:p>
      <w:pPr>
        <w:pStyle w:val="Heading2"/>
      </w:pPr>
      <w:r>
        <w:t>Erwägungen</w:t>
      </w:r>
    </w:p>
    <w:p>
      <w:r>
        <w:rPr>
          <w:b/>
        </w:rPr>
        <w:t>E. 1</w:t>
      </w:r>
    </w:p>
    <w:p>
      <w:r>
        <w:t>Formelles</w:t>
      </w:r>
    </w:p>
    <w:p>
      <w:r>
        <w:rPr>
          <w:b/>
        </w:rPr>
        <w:t>E. 1.1</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 laubt, nach dem Klagebegehren zu erkennen, andernfalls ist die Klage abzuwei- sen. Dabei hat das Gericht auch rechtshemmende, rechtshindernde und rechts- aufhebende Tatsachen zu berücksichtigen, soweit sie in der Klage selbst ange- führt sind. Andere Tatsachen, die aus den Akten ersichtlich sind, dürfen nur inso- weit berücksichtigt werden, als es für das Vorhandensein der von Amtes wegen zu prüfenden Prozessvoraussetzungen von Bedeutung ist (Art. 60 ZPO). An der erforderlichen Spruchreife fehlt es – zur Hauptsache –, wenn das Klagebegehren oder die Begründung der Klage (noch) unklar, unbestimmt oder offensichtlich un- vollständig ist (Art. 56 ZPO) oder dem Gericht die Klagebegründung in erhebli-</w:t>
      </w:r>
    </w:p>
    <w:p>
      <w:r>
        <w:t>- 4 - chem Mass als unglaubhaft erscheint und es darüber Beweis erheben will (Art. 153 Abs. 2 ZPO; WILLISEGGER, in: Basler Kommentar, Schweizerische Zivil- prozessordnung, 2. Aufl., Basel 2013, Art. 223 N 21 ff., m.w.H.)</w:t>
      </w:r>
    </w:p>
    <w:p>
      <w:r>
        <w:rPr>
          <w:b/>
        </w:rPr>
        <w:t>E. 1.2</w:t>
      </w:r>
    </w:p>
    <w:p>
      <w:r>
        <w:t>Prozessvoraussetzungen Das Gericht prüft von Amtes wegen, ob die Prozessvoraussetzungen erfüllt sind (Art. 60 Abs. 1 ZPO). Prozessvoraussetzungen sind insbesondere die sachliche und örtliche Zuständigkeit (Art. 59 Abs. 2 lit. b ZPO). Die Beklagte hat ihren Sitz in D._____, die Klägerin in Italien. Folglich liegt ein internationaler Sachverhalt vor. Sowohl Italien als auch die Schweiz sind Signatarstaaten des Lugano Überein- kommens. Gemäss Art. 2 LugÜ i.V.m. Art. 112 Abs. 1 i.V.m. Art. 21 Abs. 1 IPRG sind die Gerichte am Sitz der Beklagten örtlich zuständig. Da beide Parteien im schweizerischen bzw. einem vergleichbaren ausländischen Register eingetragen sind, die geschäftliche Tätigkeit der Parteien betroffen ist und der Streitwert CHF 30'000.– übersteigt, ist das Handelsgericht des Kantons Zürich gemäss Art. 6 Abs. 2 ZPO i.V.m. § 44 lit. b GOG auch sachlich zuständig. Da auch die weiteren Prozessvoraussetzungen erfüllt sind, ist auf die Klage einzutreten.</w:t>
      </w:r>
    </w:p>
    <w:p>
      <w:r>
        <w:rPr>
          <w:b/>
        </w:rPr>
        <w:t>E. 2</w:t>
      </w:r>
    </w:p>
    <w:p>
      <w:r>
        <w:t>Unbestrittener Sachverhalt</w:t>
      </w:r>
    </w:p>
    <w:p>
      <w:r>
        <w:rPr>
          <w:b/>
        </w:rPr>
        <w:t>E. 2.1</w:t>
      </w:r>
    </w:p>
    <w:p>
      <w:r>
        <w:t>Gemäss der unbestritten gebliebenen Sachdarstellung der Klägerin, an de- ren Richtigkeit zu zweifeln kein Anlass besteht (Art. 153 Abs. 2 ZPO e contrario), ist für diesen Anspruch von folgendem Sachverhalt auszugehen:</w:t>
      </w:r>
    </w:p>
    <w:p>
      <w:r>
        <w:rPr>
          <w:b/>
        </w:rPr>
        <w:t>E. 2.2</w:t>
      </w:r>
    </w:p>
    <w:p>
      <w:r>
        <w:t>Die Beklagte hat bei der Klägerin eine Vielzahl verschiedener Bestellungen für Fertigbauküchen und Zubehör aufgegeben, die von der Klägerin rechtzeitig geliefert worden sind (act. 1 Rz. 19 f.; act. 3/17-23), nämlich:</w:t>
      </w:r>
    </w:p>
    <w:p>
      <w:r>
        <w:t>- 5 - In jeder einzelnen Bestätigung wurde die Beklagte darauf hingewiesen, dass die Bestellungen bei unrichtigem Inhalt innerhalb von 48 Stunden seit Erhalt der Be- stätigung problemlos abgeändert bzw. angepasst werden können, von welcher Möglichkeit die Beklagte nicht Gebrauch gemacht hat (act. 1 Rz. 19 f.; act. 3/17- 23). Für die Warenlieferungen sind noch folgende Rechnungen offen (act. 1 Rz. 22; act. 3/24-31):</w:t>
      </w:r>
    </w:p>
    <w:p>
      <w:r>
        <w:t>- 6 - Betreffend der ausstehenden Forderung von EUR 51'460.06 wurde die Beklagte mit Schreiben vom 13. April 2017 gemahnt (act. 1 Rz. 23; act. 3/32).</w:t>
      </w:r>
    </w:p>
    <w:p>
      <w:r>
        <w:rPr>
          <w:b/>
        </w:rPr>
        <w:t>E. 3</w:t>
      </w:r>
    </w:p>
    <w:p>
      <w:r>
        <w:t>Rechtliche Würdigung</w:t>
      </w:r>
    </w:p>
    <w:p>
      <w:r>
        <w:rPr>
          <w:b/>
        </w:rPr>
        <w:t>E. 3.1</w:t>
      </w:r>
    </w:p>
    <w:p>
      <w:r>
        <w:t>Die Parteien haben einen internationalen Kaufvertrag geschlossen, womit das Übereinkommen der Vereinten Nationen über Verträge über den internationa- len Warenkauf (CISG, SR 0.221.211.1) – mangels vertraglichem Ausschluss die- ses Übereinkommens durch die Parteien – zur Anwendung gelangt (Art. 118 Abs. 1 IPRG]; Art. 3 des Haager Übereinkommens betreffend das auf internatio- nale Kaufverträge über bewegliche körperliche Sachen anzuwendende Recht [SR 0.221.211.4] i.V.m. Art. 1 ff. CISG). Nach Art. 30 CISG wird durch den Kaufvertrag der Verkäufer verpflichtet, die Wa- re vertragsgemäss (Art. 35 Abs. 1 CISG) zu liefern, die betreffenden Dokumente zu übergeben und das Eigentum an der Ware zu übertragen. Der Käufer hinge- gen ist nach Art. 53 CISG verpflichtet, den Kaufpreis zu bezahlen und die Ware anzunehmen, wobei Art. 58 CISG die Vermutung für die Zug-um-Zug-Leistung statuiert. Ist der Zeitpunkt der Zahlung nach Art. 58 CISG festgestellt oder durch den Vertrag festgelegt, so bedarf es gemäss Art. 59 CISG keiner weiteren Zah- lungsaufforderung. Erfüllt der Käufer zu diesem Zeitpunkt seine Zahlungspflicht nicht, so ist weder eine Mahnung noch eine Fristansetzung für die Inverzugset- zung erforderlich (BACHER, in: Kommentar zum Einheitlichen UN-Kaufrecht, Schlechtriem/Schwenzer, 6. Auflage, Basel 2013, Art. 78 Rz. 17). Erfüllt der Käu- fer seine Pflichten nicht, so kann der Verkäufer die in den Art. 62-65 vorgesehe- nen Rechte ausüben (Art. 61 Abs. 1 lit. a CISG). Versäumt eine Partei, den Kauf- preis oder einen anderen fälligen Betrag zu bezahlen, so hat die andere Partei Anspruch auf Zinsen (Art. 78 CISG). Das CISG äussert sich zur Höhe der Zinsen nicht. Mehrheitlich wird vertreten, die Zinshöhe richte sich nach dem ergänzend anwendbaren nationalen Recht, das wiederum nach Massgabe der Kollisionsre- geln zu ermitteln ist (BACHER, a.a.O., Art. 78 Rz. 27).</w:t>
      </w:r>
    </w:p>
    <w:p>
      <w:r>
        <w:rPr>
          <w:b/>
        </w:rPr>
        <w:t>E. 3.2</w:t>
      </w:r>
    </w:p>
    <w:p>
      <w:r>
        <w:t>Die Klägerin hat die bestellte Menge geliefert und entsprechend Rechnun- gen gestellt, wovon ein Betrag von EUR 51'460.06 unbezahlt blieb. Der Käufer ist,</w:t>
      </w:r>
    </w:p>
    <w:p>
      <w:r>
        <w:t>- 7 - wie erwähnt, nach Art. 53 CISG verpflichtet, dem Verkäufer den Kaufpreis zu be- zahlen (Art. 62 CISG). Die Beklagte hat sich zwar gegenüber der Klägerin pau- schal auf den Standpunkt gestellt, die gelieferte Ware weise die falschen Masse auf. Es blieb aber unbestritten, dass die Beklagte die bestellten Waren höchstper- sönlich bei der Klägerin ausgesucht hatte und weder von einer Bestellungsände- rung Gebrauch gemacht noch irgendwelche konkreten Beschwerden erhoben hat (act. 1 Rz. 11 und 20). Folglich ist die Beklagte zu verpflichten, der Klägerin EUR 51'460.06 zu bezahlen.</w:t>
      </w:r>
    </w:p>
    <w:p>
      <w:r>
        <w:rPr>
          <w:b/>
        </w:rPr>
        <w:t>E. 3.3</w:t>
      </w:r>
    </w:p>
    <w:p>
      <w:r>
        <w:t>Sowohl der Beginn der Pflicht zur Zahlung von Verzugszinsen als auch die Verzugszinshöhe unterliegen der Dispositionsmaxime. Auf die Verzugszinshöhe kommt gemäss Art. 117 Abs. 2 IPRG Italienisches Recht zur Anwendung. Es ist der Klägerin aber unbenommen, einen tieferen Verzugszins geltend zu machen. Gleiches gilt in Bezug auf den Beginn der Pflicht zur Zahlung von Verzugszinsen. Folglich ist die Beklagte zu verpflichten, der Klägerin EUR 51'460.06 zzgl. Zins zu</w:t>
      </w:r>
    </w:p>
    <w:p>
      <w:r>
        <w:rPr>
          <w:b/>
        </w:rPr>
        <w:t>E. 5</w:t>
      </w:r>
    </w:p>
    <w:p>
      <w:r>
        <w:t>Kosten- und Entschädigungsfolgen</w:t>
      </w:r>
    </w:p>
    <w:p>
      <w:r>
        <w:rPr>
          <w:b/>
        </w:rPr>
        <w:t>E. 5.1</w:t>
      </w:r>
    </w:p>
    <w:p>
      <w:r>
        <w:t>Die Prozesskosten, bestehend aus Gerichtskosten und Parteientschädi- gung, werden ausgangsgemäss der Beklagten als unterliegende Partei auferlegt (Art. 106 Abs. 1 i.V.m. 105 ZPO).</w:t>
      </w:r>
    </w:p>
    <w:p>
      <w:r>
        <w:rPr>
          <w:b/>
        </w:rPr>
        <w:t>E. 5.2</w:t>
      </w:r>
    </w:p>
    <w:p>
      <w:r>
        <w:t>Die Höhe der Gerichtsgebühr bestimmt sich nach der Gebührenverordnung des Obergerichts vom 8. September 2010 (Art. 96 ZPO i.V.m. § 199 Abs. 1 GOG), während die Höhe der Parteientschädigung gemäss der Verordnung über die Anwaltsgebühren vom 8. September 2010 festzusetzen ist (Art. 96 ZPO i.V.m. § 48 Abs. 1 lit. c und Abs. 2 des Anwaltsgesetzes vom 17. November 2003). So- wohl die Gerichtsgebühr als auch die Parteientschädigung richten sich in erster Linie nach dem Streitwert bzw. nach dem Streitinteresse (§ 2 Abs. 1 lit. a GebV OG; § 2 Abs. 1 lit. a AnwGebV).</w:t>
      </w:r>
    </w:p>
    <w:p>
      <w:r>
        <w:rPr>
          <w:b/>
        </w:rPr>
        <w:t>E. 5.3</w:t>
      </w:r>
    </w:p>
    <w:p>
      <w:r>
        <w:t>Ausgehend von einem Streitwert von CHF 55'604.– (umgerechnet per Da- tum Klageeinreichung vom 25. April 2017; Kurs 1.08052) ist die Gerichtsgebühr unter Berücksichtigung von § 4 Abs. 1 und 2 sowie § 10 Abs. 1 GebV OG auf rund die Hälfte der Grundgebühr, d.h. CHF 3'000.– festzusetzen und ausgangs-</w:t>
      </w:r>
    </w:p>
    <w:p>
      <w:r>
        <w:t>- 9 - gemäss der Beklagten aufzuerlegen. Diese Kosten sind aus dem von der Klägerin geleisteten Kostenvorschuss zu decken. Der Klägerin ist das Rückgriffsrecht auf die Beklagte einzuräumen (vgl. Art. 111 Abs. 2 ZPO). Die Höhe der Entschädigung für die Parteivertretung durch Anwältinnen und An- wälte wird nach der Anwaltsgebührenverordnung vom 8. September 2010 (Anw- GebV) festgesetzt (Art. 105 Abs. 2 und Art. 96 ZPO). Die Grundgebühr ist mit der Begründung oder Beantwortung der Klage verdient (§ 11 Abs. 1 AnwGebV). Die Parteientschädigung ist in Anwendung von § 4 Abs. 1 und 2 i.V.m. § 11 AnwGebV auf CHF 5'000.– festzusetzen. Dementsprechend ist die Beklagte zu verpflichten, der Klägerin eine Parteientschädigung in diesem Umfang zu bezahlen. Die Par- teientschädigung ist ohne Mehrwertsteuer zuzusprechen (BGer 4A_552/2015 E.4.5).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