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HG170066 vom 31. Juli 2017</w:t>
      </w:r>
    </w:p>
    <w:p>
      <w:r>
        <w:t>Zh Handelsgericht, 2017-07-31, DE</w:t>
      </w:r>
    </w:p>
    <w:p>
      <w:r>
        <w:rPr>
          <w:b/>
        </w:rPr>
        <w:t xml:space="preserve">Quelle: </w:t>
      </w:r>
      <w:r>
        <w:t>https://mcp.opencaselaw.ch/entscheid/zh_handelsgericht_HG170066</w:t>
      </w:r>
    </w:p>
    <w:p>
      <w:r>
        <w:t>FR: ZH_HANDELSGERICHT HG170066 du 31 juillet 2017</w:t>
      </w:r>
    </w:p>
    <w:p>
      <w:r>
        <w:t>IT: ZH_HANDELSGERICHT HG170066 del 31 luglio 2017</w:t>
      </w:r>
    </w:p>
    <w:p>
      <w:pPr>
        <w:pStyle w:val="Heading2"/>
      </w:pPr>
      <w:r>
        <w:t>Erwägungen</w:t>
      </w:r>
    </w:p>
    <w:p>
      <w:r>
        <w:rPr>
          <w:b/>
        </w:rPr>
        <w:t>E. 1</w:t>
      </w:r>
    </w:p>
    <w:p>
      <w:r>
        <w:t>Säumnisurteil</w:t>
      </w:r>
    </w:p>
    <w:p>
      <w:r>
        <w:rPr>
          <w:b/>
        </w:rPr>
        <w:t>E. 1.1</w:t>
      </w:r>
    </w:p>
    <w:p>
      <w:r>
        <w:t>Reicht die beklagte Partei auch innerhalb der Nachfrist keine Klageantwort ein, so trifft das Gericht einen Endentscheid, sofern die Angelegenheit spruchreif ist (Art. 223 Abs. 2 Satz 1 ZPO). Auf die Säumnisfolgen ist die Partei hinzuweisen (Art. 147 Abs. 3 ZPO). Spruchreife liegt vor, wenn das Gericht die Klage aufgrund</w:t>
      </w:r>
    </w:p>
    <w:p>
      <w:r>
        <w:t>- 5 - der unbestritten gebliebenen Behauptungen der klägerischen Partei durch Pro- zess- oder Sachurteil erledigen kann. An der Spruchreife mangelt es, wenn das Vorbringen der klägerischen Partei unklar, widersprüchlich, unbestimmt oder of- fensichtlich unvollständig ist (fehlende Schlüssigkeit; Art. 56 ZPO) oder erhebliche Zweifel an der Richtigkeit einer Tatsachenbehauptung bestehen (Art. 153 Abs. 2 ZPO; zum Ganzen: Urteil des Handelsgerichts des Kantons Zürich HG130183 vom 9. April 2014, in: ZR 2015 Nr. 2 E. 1.1.1. S. 3; Entscheidung des Handelsge- richts des Kantons Aargau, HOR.2011.18 vom 7. Dezember 2011, in: CAN 2012 Nr. 73, E. 3 S. 204-205; DANIEL WILLISEGGER, in: Basler Kommentar, Schweizeri- sche Zivilprozessordnung, 3. Aufl. 2017, N. 20-23 zu Art. 223 ZPO; CHRISTOPH LEUENBERGER, in: Thomas Sutter-Somm/Franz Hasenböhler/Christoph Leuenber- ger (Hrsg.), Kommentar zur Schweizerischen Zivilprozessordnung, 3. Aufl. 2016, N. 5-7a zu Art. 223 ZPO).</w:t>
      </w:r>
    </w:p>
    <w:p>
      <w:r>
        <w:rPr>
          <w:b/>
        </w:rPr>
        <w:t>E. 1.2</w:t>
      </w:r>
    </w:p>
    <w:p>
      <w:r>
        <w:t>Mit Verfügung vom 29. März 2017 erfolgte an die Beklagte die Ansetzung einer Frist zur Einreichung einer Klageantwort bis zum 16. Juni 2017 (act. 4). Ein Angestellter der Beklagten nahm diese am 31. März 2017 in Empfang (act. 5/2). Nach Säumnis der Beklagten erfolgte mit Verfügung vom 21. Juni 2017 die an- drohungsgemässe Ansetzung einer Nachfrist bis zum 12. Juli 2017 mit der weite- ren Androhung, bei Säumnis werde das Gericht entweder einen Endentscheid treffen, sofern die Angelegenheit spruchreif sei, oder zur Hauptverhandlung vorla- den (act. 7). Diese Verfügung wurde der Beklagten von der Post am 22. Juni 2017 zur Abholung gemeldet und am 30. Juni 2017 mit dem Vermerk "Nicht abgeholt" retourniert (act. 8/2). Nachdem die Beklagte die Verfügung vom 29. März 2017 erhalten hatte, wusste sie vom vorliegenden Verfahren. Zudem wurden die Par- teien darauf hingewiesen, dass Adressänderungen während des Prozesses dem Gericht unverzüglich mitzuteilen sind (act. 4). Da die Beklagte infolge des hängi- gen Prozesses mit einer Zustellung rechnen musste, gilt die Verfügung vom 21. Juni 2017 gemäss Art. 138 Abs. 3 lit. a ZPO am siebten Tag nach dem erfolg- losen Zustellungsversuch, somit am 29. Juni 2017, als zugestellt. Das Verfahren erweist sich zudem auch als spruchreif.</w:t>
      </w:r>
    </w:p>
    <w:p>
      <w:r>
        <w:rPr>
          <w:b/>
        </w:rPr>
        <w:t>E. 1.3</w:t>
      </w:r>
    </w:p>
    <w:p>
      <w:r>
        <w:t>Die Voraussetzungen für den Erlass eines Säumnisurteils sind erfüllt.</w:t>
      </w:r>
    </w:p>
    <w:p>
      <w:r>
        <w:t>- 6 -</w:t>
      </w:r>
    </w:p>
    <w:p>
      <w:r>
        <w:rPr>
          <w:b/>
        </w:rPr>
        <w:t>E. 2</w:t>
      </w:r>
    </w:p>
    <w:p>
      <w:r>
        <w:t>Formelles Die örtliche Zuständigkeit des Handelsgerichts des Kantons Zürich ergibt sich aus Art. 10 Abs. 1 lit. b ZPO, nachdem die Beklagte ihren Sitz im Kanton Zürich hat. Die sachliche Zuständigkeit folgt aus Art. 5 Abs. 1 lit. a ZPO i.V.m. § 44 lit. a GOG. Die übrigen Sachurteilsvoraussetzungen geben zu keinen Bemerkungen Anlass. Auf die Klage ist einzutreten.</w:t>
      </w:r>
    </w:p>
    <w:p>
      <w:r>
        <w:rPr>
          <w:b/>
        </w:rPr>
        <w:t>E. 3</w:t>
      </w:r>
    </w:p>
    <w:p>
      <w:r>
        <w:t>Materielles</w:t>
      </w:r>
    </w:p>
    <w:p>
      <w:r>
        <w:rPr>
          <w:b/>
        </w:rPr>
        <w:t>E. 3.1</w:t>
      </w:r>
    </w:p>
    <w:p>
      <w:r>
        <w:t>Nach Art. 19 Abs. 1 URG dürfen urheberrechtlich geschützte und veröffent- lichte Werke zum Eigengebrauch verwendet werden. Als Eigengebrauch gilt ins- besondere das Vervielfältigen von Werkexemplaren in Betrieben, öffentlichen Verwaltungen, Instituten, Kommissionen und ähnlichen Einrichtungen für die in- terne Information oder Dokumentation (Art. 19 Abs. 1 lit. c URG). Wer zum Eigen- gebrauch nach Art. 19 Abs. 1 lit. c URG Werke auf irgendwelche Art vervielfältigt, schuldet dem Urheber oder der Urheberin eine Vergütung (Art. 20 Abs. 2 URG). Die Verwertungsgesellschaften stellen für die von ihnen geforderten Vergütungen Tarife auf (Art. 46 Abs. 1 URG), wobei sie über die Gestaltung der einzelnen Tari- fe mit den massgebenden Nutzerverbänden zu verhandeln haben (Art. 46 Abs. 2 URG). Die Tarife bedürfen der Genehmigung durch die Eidgenössische Schieds- kommission für die Verwertung von Urheberrechten und verwandten Schutzrech- ten (Art. 46 Abs. 3 URG; Art. 55 Abs. 1 URG). Nach Art. 59 Abs. 3 URG sind rechtskräftig genehmigte Tarife für die Gerichte verbindlich. Die Werknutzerinnen und -nutzer trifft gegenüber den Verwertungsgesellschaften nach Art. 51 Abs. 1 URG eine Auskunftspflicht. Sie müssen den Verwertungsge- sellschaften "alle Auskünfte erteilen, welche diese für die Gestaltung und die An- wendung der Tarife sowie die Verteilung des Erlöses benötigen" (Art. 51 Abs. 1 URG). Die Auskunftspflicht verleiht den Verwertungsgesellschaften einen privat- rechtlichen Auskunftsanspruch. Diese können jedoch einen Verstoss gegen die Auskunftspflicht auch in der Gestaltung ihrer Tarife berücksichtigen (Urteil des Bundesgerichts 4A_418/2007 vom 13. Dezember 2007, in: sic! 2008, 289, E. 4 S. 289).</w:t>
      </w:r>
    </w:p>
    <w:p>
      <w:r>
        <w:t>- 7 -</w:t>
      </w:r>
    </w:p>
    <w:p>
      <w:r>
        <w:rPr>
          <w:b/>
        </w:rPr>
        <w:t>E. 3.2</w:t>
      </w:r>
    </w:p>
    <w:p>
      <w:r>
        <w:t>Nach unbestritten gebliebener Darstellung der Klägerin schätzte diese in ihrer Eigenschaft als Verwertungsgesellschaft die Fotokopier-Vergütung sowie die betriebsinterne Netzwerkvergütung gegenüber der Beklagten aufgrund des feh- lenden Eingangs des Erhebungsformulars gestützt auf Ziff. 6 ff. und insbesondere Ziff. 8.3 von GT 8 VI 2012-2016 sowie Ziff. 8.3 von GT 9 VI 2012-2016 ein (act. 1 Rz. 7, 8). Dabei teilte sie die Beklagte der Branche "Übrige Dienstleistungsunter- nehmen" GT 8 VI 2012-2016 Ziffer 6.3.26 sowie GT 9 VI 2012-2016 Ziffer 6.3.26 zu und schätzte die Anzahl Angestellte auf 10-19 (act. 3/4).</w:t>
      </w:r>
    </w:p>
    <w:p>
      <w:r>
        <w:rPr>
          <w:b/>
        </w:rPr>
        <w:t>E. 3.3</w:t>
      </w:r>
    </w:p>
    <w:p>
      <w:r>
        <w:t>Die relevanten Bestimmungen der vorliegend anwendbaren Fassung des GT 8 VI 2012-2016 und GT 9 VI 2012-2016, welche die Auskunftspflicht der Werknutzerinnen und -nutzer konkretisieren, lauten folgendermassen: GT 8 VI 2012-2016:</w:t>
      </w:r>
    </w:p>
    <w:p>
      <w:r>
        <w:rPr>
          <w:b/>
        </w:rPr>
        <w:t>E. 3.4</w:t>
      </w:r>
    </w:p>
    <w:p>
      <w:r>
        <w:t>Die anwendbaren Gebührentarife sehen vor, dass die der Pauschalvergü- tung unterstehenden Nutzer bei der Erstprüfung der Tarifpflicht einen Erhebungs- bogen zugestellt erhalten und die notwendigen Angaben innerhalb von 30 Tagen melden müssen (GT 8 VI 2012-2016 Ziffer 8.2 lit. c; GT 9 VI 2012-2016 Ziffer 8.2 lit. c). In den Folgejahren müssen diese Nutzer nicht jährlich einen neuen Erhe- bungsbogen ausfüllen, sondern lediglich allfällige Änderungen nach Rechnungs- stellung innerhalb von 30 Tagen melden (GT 8 VI 2012-2016 Ziffer 8.2 lit. a; GT 9 VI 2012-2016 Ziffer 8.2 lit. a). Die Klägerin führte gestützt auf GT 8 VI 2012-2016 Ziffer 8.3 bzw. GT 9 VI 2012- 2016 Ziffer 8.3 oder eine allfällige analoge Regelung des Tarifs der Vorperiode ei- ne Einschätzung der Beklagten durch. Diese Einschätzung behielt sie für alle streitgegenständlichen Jahre bei. Allfällige Einwendungen der Beklagten gegen die Einschätzung wären zum jetzigen Zeitpunkt verspätet (GT 8 VI 2012-2016 Zif- fer 8.3 Satz 2; GT 9 VI 2012-2016 Ziffer 8.3 Satz 2). Bestand und Umfang der Forderung der Klägerin sind somit aufgrund der anwendbaren Tarife begründet.</w:t>
      </w:r>
    </w:p>
    <w:p>
      <w:r>
        <w:rPr>
          <w:b/>
        </w:rPr>
        <w:t>E. 3.5</w:t>
      </w:r>
    </w:p>
    <w:p>
      <w:r>
        <w:t>Die Klägerin hat Anspruch auf Verzugszinsen (Art. 102 Abs. 1, Art. 104 Abs. 1 OR). Hinsichtlich der Mahnungen vom 11. November 2015 und vom 29. Juni 2016 ist jedoch die dort gewährte zehntägige Zahlungsfrist zu beachten, weshalb der Zins – unter Berücksichtigung der Samstage, Sonntage und Feierta- ge (Art. 78 Abs. 1 OR) – erst ab 24. November 2015 bzw. ab 12. Juli 2016 läuft.</w:t>
      </w:r>
    </w:p>
    <w:p>
      <w:r>
        <w:t>- 10 - 4. Kosten- und Entschädigungsfolgen 4.1. Kostenauflage Da die Beklagte unterliegt, sind ihr die Prozesskosten aufzuerlegen (Art. 106 Abs. 1 ZPO). Prozesskosten sind die Gerichtskosten und die Parteientschädigung (Art. 95 Abs. 1 ZPO). 4.2. Gerichtskosten Die Höhe der Gerichtskosten bestimmt sich nach der Gebührenverordnung des Obergerichts vom 8. September 2010 (GebV OG; Art. 96 ZPO i.V.m. § 199 Abs. 1 GOG). Sie richtet sich in erster Linie nach dem Streitwert (§ 2 Abs. 1 lit. a GebV OG). Vorliegend beläuft sich der Streitwert auf CHF 458.20. Die nach § 4 Abs. 1 GebV OG ermittelte (minimale) ordentliche Gerichtsgebühr beträgt CHF 150.00 und ist angesichts des im Verhältnis zum Streitwert hohen Zeitaufwands nach § 4 Abs. 2 GebV OG zu verdoppeln auf CHF 300.00. Die Gerichtsgebühr ist deshalb auf CHF 300.00 festzusetzen. Die Kosten sind der Beklagten aufzuerlegen und vorab aus dem von der Klägerin geleisteten Kostenvorschuss zu decken (Art. 111 Abs. 1 Satz 1 ZPO). Der Kläge- rin ist das Rückgriffsrecht auf die Beklagte einzuräumen (Art. 111 Abs. 2 ZPO). 4.3. Parteientschädigungen Die Parteientschädigung bestimmt sich nach der Verordnung über die Anwaltsge- bühren vom 8. September 2010 (AnwGebV; Art. 95 Abs. 3 lit. b und 96 ZPO i.V.m. § 48 Abs. 1 lit. c und Abs. 2 des Anwaltsgesetzes vom 17. November 2003). Sie richtet sich in erster Linie nach dem Streitwert (§ 2 Abs. 1 lit. a Anw- GebV). Beim vorliegenden Streitwert beträgt die nach § 4 Abs. 1 AnwGebV ermit- telte (minimale) einfache Anwaltsgebühr CHF 100.00. Diese wäre angesichts des im Verhältnis zum Streitwert hohen Zeitaufwands nach § 4 Abs. 2 AnwGebV um einen Drittel und für die zusätzliche Verfassung der Replikschrift nach § 11 Abs. 2 AnwGebV um die Hälfte zu erhöhen, somit insgesamt auf CHF 200.00 zu verdop- peln.</w:t>
      </w:r>
    </w:p>
    <w:p>
      <w:r>
        <w:t>- 11 - Die Klägerin verfasste eine Eingabe (act. 1) von knapp 7 Seiten netto und reichte 5 Beilagen ein (act. 3/2-6) ein. Aufgrund dieser ausgewiesenen Arbeiten besteht auch unter Berücksichtigung der möglichen Verdoppelung ein offensichtliches Missverhältnis zwischen der Anwaltsgebühr und dem Zeitaufwand der Klägerin. Die berechnete Gebühr ist damit in Anwendung von § 2 Abs. 2 AnwGebV praxis- gemäss entsprechend zu erhöhen. In Anbetracht des geschätzten Aufwands er- scheint eine Entschädigung von CHF 650.00 als angemessen. Da die selber mehrwertsteuerpflichtige Klägerin nicht darlegt, inwieweit sie die für die Rechtsvertretung bezahlte Mehrwertsteuer nicht als Vorsteuerabzug geltend machen kann, ist der beantragte Mehrwertsteuerzusatz nicht zu gewähren (Kas- sationsgericht des Kantons Zürich, Entscheid vom 19. Juli 2005, ZR 104 [2005] Nr. 76 = SJZ 101 [2005] 531, E. III.2.d; Handelsgericht des Kantons Zürich, Urteil und Beschluss vom 26. August 2015 E. 15.3.2, abrufbar unter &lt;http://www.gerichte- zh.ch/fileadmin/user_upload/entscheide/oeffentlich/HG130021-O20.pdf&gt;, obiter bestä- tigt durch Urteil des Bundesgerichts 4A_552/2015 vom 25. Mai 2016 E. 4.5). Das Handelsgericht erkennt:</w:t>
      </w:r>
    </w:p>
    <w:p>
      <w:r>
        <w:rPr>
          <w:b/>
        </w:rPr>
        <w:t>E. 8</w:t>
      </w:r>
    </w:p>
    <w:p>
      <w:r>
        <w:t>Angaben für die Rechnungsstellung</w:t>
      </w:r>
    </w:p>
    <w:p>
      <w:r>
        <w:rPr>
          <w:b/>
        </w:rPr>
        <w:t>E. 8.1</w:t>
      </w:r>
    </w:p>
    <w:p>
      <w:r>
        <w:t>Für die Rechnungsstellung des laufenden Jahres stellt die A._____ auf die Angaben des Vorjahres ab. Massgebend ist der Stichtag per 31.12.</w:t>
      </w:r>
    </w:p>
    <w:p>
      <w:r>
        <w:rPr>
          <w:b/>
        </w:rPr>
        <w:t>E. 8.2</w:t>
      </w:r>
    </w:p>
    <w:p>
      <w:r>
        <w:t>a) Pauschalvergütungen Nutzer, die aufgrund ihrer gemeldeten Angaben eine Pauschal- vergütung zu entrichten haben, müssen nicht jedes Jahr einen Erhebungsbogen ausfüllen. Die A._____ stützt sich für das Folge- jahr auf die im Vorjahr gemeldeten Angaben und stellt Rechnung gestützt auf diese Angaben. Die Nutzer sind verpflichtet, der A._____ allfällige Änderungen der Angaben innert 30 Tagen schriftlich nach der Rechnungsstellung mitzuteilen. Betreffen die- se Mutationen das vergangene Jahr, wird dem Nutzer eine neue korrigierte Rechnung zugestellt. Mutationen für das laufende Rechnungsjahr werden erst bei der Fakturierung des Folgejahres berücksichtigt (vgl. Ziffer 8.1). b) Individualvergütungen Die Nutzer sind verpflichtet, der A._____ innert 30 Tagen nach Aufforderung alle für die Rechnungsstellung notwendigen Anga- ben wie Anzahl Mitarbeitende, Gesamtkopiemenge, Pressespie- gel, Branche, usw. zu melden. Die A._____ lässt den Nutzern da- zu jedes Jahr einen Erhebungsbogen zukommen und stützt sich für die Rechnungsstellung auf die Angaben des Vorjahres. Nutzer haben die Möglichkeit, über die gesamte Tarifperiode mit der A._____ einen Vertrag abzuschliessen. c) Neue Nutzer Jeder neue Nutzer, dessen Tarifpflicht geprüft werden muss (z.B. Neugründungen), erhält von der A._____ einen Erhebungsbogen mittels welchem er innert 30 Tagen nach Aufforderung alle für die Rechnungsstellung notwendigen Angaben wie Anzahl Mitarbei- tende, Gesamtkopiemenge, Pressespiegel, Branche, usw. zu</w:t>
      </w:r>
    </w:p>
    <w:p>
      <w:r>
        <w:t>- 9 - melden hat. In den Folgejahren erfolgt die Rechnungsstellung nach Ziffer 8.2a) oder 8.2b).</w:t>
      </w:r>
    </w:p>
    <w:p>
      <w:r>
        <w:rPr>
          <w:b/>
        </w:rPr>
        <w:t>E. 8.3</w:t>
      </w:r>
    </w:p>
    <w:p>
      <w:r>
        <w:t>Werden die notwendigen Angaben nach einer schriftlichen Mahnung auch innert Nachfrist nicht eingereicht, kann die A._____ die Angaben schätzen und gestützt darauf Rechnung stellen. Gibt der Nutzer die für die Berechnung notwendigen Angaben innerhalb von 30 Tagen nach Zustellung der Schätzung nicht schriftlich bekannt, gilt die Schätzung als anerkannt. Die Rechnung stützt sich auf die Berechnungsgrundla- gen der Einschätzung. Die A._____ verlangt für den zusätzlichen Ver- waltungsaufwand in jedem Fall einen Zuschlag von 10% auf die ge- schuldete Vergütung, mindestens jedoch CHF 100.00.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