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HG160279 vom 25. Oktober 2018</w:t>
      </w:r>
    </w:p>
    <w:p>
      <w:r>
        <w:t>Zh Handelsgericht, 2018-10-25, DE</w:t>
      </w:r>
    </w:p>
    <w:p>
      <w:r>
        <w:rPr>
          <w:b/>
        </w:rPr>
        <w:t xml:space="preserve">Quelle: </w:t>
      </w:r>
      <w:r>
        <w:t>https://mcp.opencaselaw.ch/entscheid/zh_handelsgericht_HG160279</w:t>
      </w:r>
    </w:p>
    <w:p>
      <w:r>
        <w:t>FR: ZH_HANDELSGERICHT HG160279 du 25 octobre 2018</w:t>
      </w:r>
    </w:p>
    <w:p>
      <w:r>
        <w:t>IT: ZH_HANDELSGERICHT HG160279 del 25 ottobre 2018</w:t>
      </w:r>
    </w:p>
    <w:p>
      <w:pPr>
        <w:pStyle w:val="Heading2"/>
      </w:pPr>
      <w:r>
        <w:t>Erwägungen</w:t>
      </w:r>
    </w:p>
    <w:p>
      <w:r>
        <w:rPr>
          <w:b/>
        </w:rPr>
        <w:t>E. 1</w:t>
      </w:r>
    </w:p>
    <w:p>
      <w:r>
        <w:t>Formelles Die örtliche und sachliche Zuständigkeit des Handelsgerichts des Kantons Zürich blieben vorliegend zu Recht unbestritten.</w:t>
      </w:r>
    </w:p>
    <w:p>
      <w:r>
        <w:rPr>
          <w:b/>
        </w:rPr>
        <w:t>E. 2</w:t>
      </w:r>
    </w:p>
    <w:p>
      <w:r>
        <w:t>Schadenersatz aus Urheberrecht Obschon die Klägerin auf Schadenersatz klagt, unterlässt sie es unter Hinweis auf ihre Ausführungen zur Lizenzanalogie, einen Schaden im Rechtssinne darzutun. Dies räumt sie replicando unumwunden auch ein: act. 28 S. 19 "Daher ist das Bestreiten der Beklagten in Bezug auf den Schadenseintritt un- erheblich. Es brauchen nicht einmal Tatsachen glaubhaft gemacht werden, die einen Schadenseintritt nach Art. 42 Abs. 2 OR wahrscheinlich vermuten las- sen. Auch eine tatsächliche Vermögenseinbusse ist hier nicht erforderlich." Die Ausführungen der Klägerin gehen fehl. Das Bundesgericht hat in BGE 132 III 386 E. 3.1, E. 3.3.2, festgehalten, dass die Lizenzanalogie auch im Urheberrecht lediglich eine Methode der Schadenersatzberechnung darstellt und den Verletzten nicht vom Nachweis eines konkreten Schadens, mithin einer tatsächlichen Ver- mögenseinbusse, entbindet: "E. 3.1: Die Voraussetzungen für Schadenersatzansprüche im Immaterialgüter- recht sind identisch mit den Haftungsvoraussetzungen im Obligationenrecht. In den neueren Gesetzen wird für Klagen auf Schadenersatz ausdrücklich auf das Obligationenrecht verwiesen ([…] Art. 62 Abs. 2 URG [SR 231.1] […]). (…)</w:t>
      </w:r>
    </w:p>
    <w:p>
      <w:r>
        <w:t>- 4 - E. 3.3.2: Die Auffassung, dass nach der Methode der Lizenzanalogie Scha- denersatz auch ohne Vermögensverminderung zugesprochen werde, ist nicht überzeugend. Wie erläutert richten sich die allgemeinen Voraussetzungen des Schadenersatzes nach den Erfordernissen des Obligationenrechts, während die Lizenzanalogie ausschliesslich der Schadenersatzberechnung dient. Zum gleichen Ergebnis führt auch ein Blick auf die bundesgerichtliche Rechtspre- chung zum Schadensbegriff. Ein Schaden im Sinn des Obligationenrechts liegt grundsätzlich nur bei einer unfreiwilligen Vermögenseinbusse – Erhöhung der Passiven, Verminderung der Aktiven und entgangener Gewinn – vor (BGE 129 III 331 E. 2.1 S. 332; BGE 128 III 22 E. 2e/ aa S. 26; BGE 126 III 388 E. 11a S. 393). Demgegenüber stellt ein Nutzungsausfall keinen Schaden dar (BGE 126 III 392 E. 11a S. 393). Ersatz für normativen – nicht auf Vermögensver- minderung beruhenden – Schaden wird nach der Rechtsprechung einzig für den Haushaltschaden (BGE 127 III 403 E. 4 S. 407 f.) und den Pflegeschaden (Urteil 4C.276/2001 vom 26. März 2002, E. 6, publ. in: Pra 91/2002 Nr. 212 S. 1127) zugesprochen. In diesen Fällen ist auch dann Schadenersatz zu leis- ten, wenn keine Vermögensverminderung eintritt. Diese Ausnahmen sind je- doch auf den Haushalts- und Pflegeschaden beschränkt. Es besteht nach gel- tendem Recht kein Anlass, die Rechtsprechung zum Haushalt- und Pflege- schaden auf das Immaterialgüterrecht auszudehnen." Die Klägerin klagt mit ihrer Klage aber gerade einen solchen, nicht ersatzfähigen Nutzungsausfall ein. Es fehlen Behauptungen bezüglich eines Schadens im Sinne der Differenztheorie (vgl. dazu: BGE 132 III 379 E. 3.4). Die Klägerin wurde auf die Erfordernisse ausreichender Substantiierung hingewiesen (act. 22). Selbst wenn man – entgegen dem soeben Darlegten – auf die Ausführungen der Klägerin abstellen wollte, so wären diese für sich genommen ebenfalls nicht schlüssig. Denn in jedem Fall hätte die Klägerin alle ihr zugänglichen Tatsachen darzulegen gehabt, aus denen das Gericht den Schaden abschätzen könnte (BGE 132 III 379 E. 3.2 m.w.H.). Daran fehlt es. Die Klägerin geht offenbar von einem dreijährigen "Schaden" aus (act. 1 S. 13 f.), führt an anderer Stelle aber ei- ne widerrechtliche Nutzung von 2013 bis 2016, mithin vier Jahre, ins Feld (act. 13 S. 14). Überhaupt ist der Zeitraum des Schadenseintritts nicht nachvollziehbar. Weder der Anfang noch das Ende sind konkret behauptet worden und decken sich auch nicht mit der geltend gemachten Zeitperiode von 2013 bis 2016, z.B.: act. 1 S. 12 "Die Beklagte hat sich spätestens 2013 bewusst gegen eine Lizenzierung aber für eine Nutzung entschieden." act. 28 S. 5 "Im Januar 2016 (…) ist die Klägerin sich der Tatsache Gewahr geworden, dass die Beklagte [die streitgegenständlichen Softwaremodule] überhaupt im Einsatz hat, aber entsprechende Rechte nicht erworben und übertragen wur- den."</w:t>
      </w:r>
    </w:p>
    <w:p>
      <w:r>
        <w:t>- 5 -</w:t>
      </w:r>
    </w:p>
    <w:p>
      <w:r>
        <w:rPr>
          <w:b/>
        </w:rPr>
        <w:t>E. 3</w:t>
      </w:r>
    </w:p>
    <w:p>
      <w:r>
        <w:t>Zusammenfassung der Tat- und Rechtsfragen Zusammenfassend unterlässt die Klägerin einerseits jegliche Behauptungen eines Schadens im Sinne der Differenztheorie andererseits hätte sie auch nicht alle notwendigen Tatsachen für dessen Abschätzung gehörig dargetan. Dies führt zur vollumfänglichen Klageabweisung.</w:t>
      </w:r>
    </w:p>
    <w:p>
      <w:r>
        <w:rPr>
          <w:b/>
        </w:rPr>
        <w:t>E. 4</w:t>
      </w:r>
    </w:p>
    <w:p>
      <w:r>
        <w:t>Kosten- und Entschädigungsfolgen Sowohl die Festsetzung der Gerichtsgebühr als auch die Festsetzung der Partei- entschädigung richten sich in erster Linie nach dem Streitwert (§ 2 Abs. 1 lit. a GebV OG; § 2 Abs. 1 lit. a AnwGebV). In casu beträgt er gemäss klägerischen Rechtsbegehren CHF 3'700'000.–. Daraus resultiert eine ordentliche Gerichtsge- bühr von CHF 58'000.–. Der Verfahrensaufwand war anfänglich vergleichsweise hoch, fehlten Vollmachten und bestanden Unklarheiten betreffend Sitz der Kläge- rin etc. (vgl. act. 3). Zudem wurde eine halbtägige Vergleichsverhandlung durch- geführt. Vorliegend rechtfertigt es sich, die Gerichtsgebühr gestützt auf § 4 Abs. 2 GebV OG um rund einen Drittel auf CHF 40'000.– zu reduzieren. Sie ist aus- gangsgemäss der unterliegenden Klägerin aufzuerlegen (Art. 106 Abs. 1 ZPO) und aus dem von ihr geleisteten Kostenvorschuss zu beziehen. Ausserdem ist die Klägerin zu verpflichten, der obsiegenden Beklagten eine Parteientschädigung zu bezahlen. Die Durchführung einer Vergleichsverhandlung und die Einreichung ei- ner zweiten Rechtsschrift rechtfertigen einen Zuschlag um einen Drittel, was zu einer Parteientschädigung in der Höhe von CHF 80'000.– führt. Mangels Darle- gung der Berechtigung zum Vorsteuerabzug ist die Parteientschädigung der Be- klagten praxisgemäss ohne Mehrwehrsteuerzuschlag zuzusprechen (vgl. Urteil BGer 4A_552/2015 vom 25. Mai 2016 E. 4.5).</w:t>
      </w:r>
    </w:p>
    <w:p>
      <w:r>
        <w:t>- 6 -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