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HG160097 vom 20. September 2016</w:t>
      </w:r>
    </w:p>
    <w:p>
      <w:r>
        <w:t>Zh Handelsgericht, 2016-09-20, DE</w:t>
      </w:r>
    </w:p>
    <w:p>
      <w:r>
        <w:rPr>
          <w:b/>
        </w:rPr>
        <w:t xml:space="preserve">Quelle: </w:t>
      </w:r>
      <w:r>
        <w:t>https://mcp.opencaselaw.ch/entscheid/zh_handelsgericht_HG160097</w:t>
      </w:r>
    </w:p>
    <w:p>
      <w:r>
        <w:t>FR: ZH_HANDELSGERICHT HG160097 du 20 septembre 2016</w:t>
      </w:r>
    </w:p>
    <w:p>
      <w:r>
        <w:t>IT: ZH_HANDELSGERICHT HG160097 del 20 settembre 2016</w:t>
      </w:r>
    </w:p>
    <w:p>
      <w:pPr>
        <w:pStyle w:val="Heading2"/>
      </w:pPr>
      <w:r>
        <w:t>Erwägungen</w:t>
      </w:r>
    </w:p>
    <w:p>
      <w:r>
        <w:rPr>
          <w:b/>
        </w:rPr>
        <w:t>E. 5</w:t>
      </w:r>
    </w:p>
    <w:p>
      <w:r>
        <w:t>Rechtliche Würdigung</w:t>
      </w:r>
    </w:p>
    <w:p>
      <w:r>
        <w:rPr>
          <w:b/>
        </w:rPr>
        <w:t>E. 5.1</w:t>
      </w:r>
    </w:p>
    <w:p>
      <w:r>
        <w:t>Aktiv- und Passivlegitimation Nach Art. 20 Abs. 4 URG können die gemäss Art. 20 Abs. 2 URG geschuldeten Vergütungen für den Eigengebrauch nur durch zugelassene Verwertungsgesell- schaften – wie die Klägerin eine ist – geltend machen. Die Aktivlegitimation der Klägerin ergibt sich aus Art. 44 URG, wonach diese verpflichtet ist, die zu ihrem Tätigkeitsgebiet gehörenden Rechte wahrzunehmen. Die Klägerin ist mit Bezug auf die GT 8 und 9 gemäss Ziff. 4 GT 8/VI und Ziff. 3 GT 9/VI gemeinsame Zahl- stelle der tarifpflichtigen Verwertungsgesellschaften. Der Beklagte fällt mit seinem durch ihn betriebenen Advokaturbüro unter den Branchenbegriff "Rechtsanwälte, Notariate, Wirtschafts- und Unternehmensbera-</w:t>
      </w:r>
    </w:p>
    <w:p>
      <w:r>
        <w:t>- 6 - tung, Immobilienverwaltung, Treuhand, Revision und Inkasso" im Sinne von Ziff. 6.3.3 des GT 8/VI sowie des GT 9/VI und ist daher als vergütungspflichtiger Nutzer vorliegend passivlegitimiert.</w:t>
      </w:r>
    </w:p>
    <w:p>
      <w:r>
        <w:rPr>
          <w:b/>
        </w:rPr>
        <w:t>E. 5.2</w:t>
      </w:r>
    </w:p>
    <w:p>
      <w:r>
        <w:t>Rechtliche Grundlage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wobei diese Vergütungsansprüche nur durch zugelassene Verwertungsgesellschaften – wie die Klägerin eine ist – geltend gemacht werden (Art. 20 Abs. 4 URG). Art. 46 Abs. 1 URG bestimmt so- dann, dass die Verwertungsgesellschaften für die von ihnen geforderten Vergü- tungen Tarife aufstellen. Der GT 8/VI umschreibt den Verwendungsbereich, die Bedingungen und die Ver- gütungen für das Vervielfältigen urheberrechtlich geschützter und veröffentlichter Werke. Der Tarif umfasst zum einen die gesetzlich erlaubten, verwertungsgesell- schaftspflichtigen Verwendungen gemäss Art. 19 und 20 URG. Zum anderen um- fasst der Tarif die über diesen Rahmen hinausgehenden zusätzlichen Nutzungen, welche nicht zu den der Aufsicht des Staates unterstellten Verwertungsbereichen gehören (Ziff. 1 GT 8/VI). Der GT 9/VI regelt gesetzlich erlaubte, vergütungspflich- tige Nutzungen geschützter Werke zum Eigengebrauch durch betriebsinterne Netzwerke gemäss Art. 19 und 20 URG, soweit diese Nutzungen nicht bereits in anderen Tarifen geregelt sind. Der GT 9/VI bezieht sich auf Nutzer mit betriebsin- ternen Netzwerken, die über die entsprechenden technischen Einrichtungen wie Terminals, Workstations, Computer-Bildschirme, Scanner oder ähnliche Geräte verfügen (Ziff. 1 GT 9/VI). Vorliegend ist davon auszugehen, dass das Advokaturbüro des Beklagten sowohl Reprografiegeräte einsetzt als auch über ein betriebsinternes Netzwerk verfügt,</w:t>
      </w:r>
    </w:p>
    <w:p>
      <w:r>
        <w:t>- 7 - so dass der Beklagte im Sinne von Art. 19 Abs. 1 lit. c URG vergütungspflichtig ist und sowohl GT 8/VI wie auch GT 9/VI Anwendung finden. Um den geschuldeten Vergütungsbetrag zu bestimmen, hat die Klägerin grund- sätzlich mittels Erhebungsformular die nötigen Informationen zur Anzahl Ange- stellten und der Branchenzugehörigkeit der potenziellen Nutzer zu ermitteln. Sie ist dabei auf die Mitwirkung der Werknutzer angewiesen, wobei Art. 51 Abs. 1 URG bestimmt, dass die Werknutzer – soweit zumutbar – den Verwertungsge- sellschaften alle Auskünfte erteilen müssen, welche diese für die Gestaltung, die Anwendung der Tarife sowie die Verteilung des Erlöses benötigen. Unterbleibt ei- ne solche Mitwirkung trotz schriftlicher Ermahnung, so sieht Ziff. 8.3 des GT 8/VI und GT 9/VI vor, dass die Verwertungsgesellschaft die notwendigen Angaben schätzen und gestützt darauf Rechnung stellen kann.</w:t>
      </w:r>
    </w:p>
    <w:p>
      <w:r>
        <w:rPr>
          <w:b/>
        </w:rPr>
        <w:t>E. 5.3</w:t>
      </w:r>
    </w:p>
    <w:p>
      <w:r>
        <w:t>Einschätzung und Berechnung des Vergütungsanspruchs Wie erwähnt unterblieb vorliegend eine Mitwirkung durch den Beklagten, weshalb die Klägerin richtigerweise eine Einschätzung unternahm. So wies sie den Be- klagten der Branche "Rechtsanwälte, Notariate, Wirtschafts- und Unternehmens- beratung, Immobilienverwaltungen, Treuhand, Revision und Inkasso" zu und schätzte die Anzahl Mitarbeiter auf zwei bis fünf. Dieser Einschätzung ist nichts entgegenzuhalten. Im übrigen blieb diese Einschätzung seitens des Beklagten unbestritten. Gemäss Ziff. 6.3.3 des GT 8/VI errechnet sich somit für die Jahre 2012 bis 2014 eine Vergütung in der Höhe von je CHF 50.–, während sich aus Ziff. 6.3.3 des GT 9/VI für das Jahr 2012 eine Vergütung in Höhe von CHF 22.50 sowie für die Jahre 2013 bis 2014 eine Vergütung in der Höhe von je CHF 25.– ergibt, insgesamt für alle drei Jahre also CHF 222.50 zuzüglich Mehrwertsteuer.</w:t>
      </w:r>
    </w:p>
    <w:p>
      <w:r>
        <w:t>- 8 -</w:t>
      </w:r>
    </w:p>
    <w:p>
      <w:r>
        <w:rPr>
          <w:b/>
        </w:rPr>
        <w:t>E. 5.4</w:t>
      </w:r>
    </w:p>
    <w:p>
      <w:r>
        <w:t>Verbindlichkeit der Einschätzung Wie bereits erwähnt, wurden dem Beklagten die Einschätzungen für die Jahre 2012 bis 2014 und die darauf basierende Berechnung mit Schreiben vom 11. April 2012, 20. März 2013 sowie 13. März 2014 zur Kenntnis gebracht mit dem Hin- weis, den genannten Betrag innert 30 Tagen zu überweisen. Sodann wird in der jeweiligen Rechnung auf die GT hingewiesen, aus welchen hervorgeht, dass die Schätzung durch den Beklagten anerkannt wird, wenn der Beklagte die Schät- zung nicht innert 30 Tagen seit Zustellung beanstandet (vgl. Ziff. 8.3 des GT 8/VI und GT 9/VI). Gegen das Vorgehen der Klägerin ist nichts einzuwenden und es blieb überdies unbestritten.</w:t>
      </w:r>
    </w:p>
    <w:p>
      <w:r>
        <w:rPr>
          <w:b/>
        </w:rPr>
        <w:t>E. 5.5</w:t>
      </w:r>
    </w:p>
    <w:p>
      <w:r>
        <w:t>Zinsen Die Klägerin verlangt schliesslich Zins zu 5 % seit dem 14. April 2015 basierend auf dem Mahnschreiben vom 23. März 2015, wonach der gemahnte Betrag bis spätestens 12. April 2015 bzw. gemäss Einzahlungsschein innert 20 Tagen netto zu bezahlen ist (act. 1 Rz. 10; act. 3/6). Demgemäss ist Verzugszins zu 5 % seit dem 14. April 2015 geschuldet.</w:t>
      </w:r>
    </w:p>
    <w:p>
      <w:r>
        <w:rPr>
          <w:b/>
        </w:rPr>
        <w:t>E. 6</w:t>
      </w:r>
    </w:p>
    <w:p>
      <w:r>
        <w:t>Prozesskosten Die Höhe der Gerichtsgebühr bestimmt sich nach der Gebührenverordnung des Obergerichts (Art. 96 ZPO i.V.m. Art. 199 Abs. 1 GOG) und richtet sich in erster Linie nach dem Streitwert bzw. nach dem tatsächlichen Streitinteresse (§ 2 Abs. 1 lit. a GebV OG). Vorliegend beträgt der Streitwert CHF 228.10. In Anwendung von § 4 Abs. 1 und 2 ist die Gerichtsgebühr auf CHF 300.– festzusetzen und aus- gangsgemäss dem Beklagten aufzuerlegen (Art. 106 Abs. 1 ZPO). Ausgangsgemäss ist der Klägerin zudem eine Parteientschädigung zuzuspre- chen. Deren Höhe richtet sich nach der Anwaltsgebührenverordnung vom 8. Sep- tember 2010 (AnwGebV; Art. 105 Abs. 2 und Art. 96 ZPO). Die Grundgebühr ist dabei mit der Begründung oder Beantwortung der Klage verdient (§ 11 Abs. 1 AnwGebV). Nach § 4 Abs. 1 AnwGebV beträgt die minimale Grundgebühr</w:t>
      </w:r>
    </w:p>
    <w:p>
      <w:r>
        <w:t>- 9 - CHF 100.–. Diese kann bei besonders hohem Zeitaufwand um bis zu einem Drit- tel erhöht werden (§ 4 Abs. 2 AnwGebV). Die Klägerin verfasste eine Klageschrift (abzüglich Parteibezeichnungen, Rechtsbegehren und Verzeichnisse) von im- merhin fünf Seiten (act. 1) und reichte sechs Beilagen ein. Aufgrund dieser aus- gewiesenen Arbeiten besteht selbst bei der maximalen Gebühr nach § 4 Abs. 1 und 2 AnwGebV (CHF 133.35) ein offensichtliches Missverhältnis zum Zeitauf- wand der Klägerin. Die berechnete Gebühr ist damit in Anwendung von § 2 Abs. 2 AnwGebV entsprechend auf CHF 650.– zu erhöhen.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