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HG150272 vom 16. August 2017</w:t>
      </w:r>
    </w:p>
    <w:p>
      <w:r>
        <w:t>Zh Handelsgericht, 2017-08-16, DE</w:t>
      </w:r>
    </w:p>
    <w:p>
      <w:r>
        <w:rPr>
          <w:b/>
        </w:rPr>
        <w:t xml:space="preserve">Quelle: </w:t>
      </w:r>
      <w:r>
        <w:t>https://mcp.opencaselaw.ch/entscheid/zh_handelsgericht_HG150272</w:t>
      </w:r>
    </w:p>
    <w:p>
      <w:r>
        <w:t>FR: ZH_HANDELSGERICHT HG150272 du 16 août 2017</w:t>
      </w:r>
    </w:p>
    <w:p>
      <w:r>
        <w:t>IT: ZH_HANDELSGERICHT HG150272 del 16 agosto 2017</w:t>
      </w:r>
    </w:p>
    <w:p>
      <w:pPr>
        <w:pStyle w:val="Heading2"/>
      </w:pPr>
      <w:r>
        <w:t>Erwägungen</w:t>
      </w:r>
    </w:p>
    <w:p>
      <w:r>
        <w:rPr>
          <w:b/>
        </w:rPr>
        <w:t>E. 1</w:t>
      </w:r>
    </w:p>
    <w:p>
      <w:r>
        <w:t>Eintretensvoraussetzungen Das Handelsgericht des Kantons Zürich ist für die vorliegende Klage sowohl ört- lich als auch sachlich zuständig (Art. 10 Abs. 1 lit. b und Art. 6 Abs. 2 ZPO sowie § 44 lit. b GOG), was unbestritten ist (act. 2/30 S. 3 f. Rz. 1 ff.). Das Verfahren wurde mittels Klage gehörig eingeleitet (Art. 220 ZPO). Sodann wurden die Voll- machten beigebracht (act. 2/2; act. 2/12). Auch hat die Klägerin den von ihr gefor- derten Gerichtskostenvorschuss sowie die Sicherheit für die Parteientschädigung fristgerecht geleistet (act. 2/4; act. 2/9; act. 2/17; act. 2/21; act. 2/27). Die Klägerin untersteht … Recht [des Staates D._____] (Art. 154 Abs. 1 IPRG). Nach diesem Recht richtet sich grundsätzlich auch deren Rechts- und Handlungs- fähigkeit (Art. 155 lit. c IPRG). Nachdem die Klägerin entsprechende Inkorporati- onszertifikate beigebracht hatte (act. 2/6; act. 2/26/2), ist von ihrer Rechts- und Handlungsfähigkeit auszugehen, was auch unbestritten ist (act. 30 S. 3 f. Rz. 3). Auf die Klage ist daher einzutreten (Art. 59 Abs. 1 ZPO).</w:t>
      </w:r>
    </w:p>
    <w:p>
      <w:r>
        <w:t>- 7 -</w:t>
      </w:r>
    </w:p>
    <w:p>
      <w:r>
        <w:rPr>
          <w:b/>
        </w:rPr>
        <w:t>E. 1.1</w:t>
      </w:r>
    </w:p>
    <w:p>
      <w:r>
        <w:t>Internationaler Sachverhalt / Anwendbares Recht Die Parteien haben ihren Sitz in unterschiedlichen Ländern, weshalb nach bun- desgerichtlicher Rechtsprechung ein internationaler Sachverhalt vorliegt. Das an- wendbare Recht ist somit nach dem Bundesgesetz über das Internationale Privat-</w:t>
      </w:r>
    </w:p>
    <w:p>
      <w:r>
        <w:t>- 9 - recht (IPRG) zu bestimmen (BGE 140 III 474 E. 2 und 140 III 117 E. 3). Das auf das vorliegend in Frage stehende Schuldbekenntnis anwendbare Recht bestimmt sich nicht nach dem Statut des Grundverhältnisses, woraus sich allenfalls ein ent- sprechendes Versprechen ableiten lässt. Vielmehr ist es – ebenso wie bei der Bürgschaft – selbständig anzuknüpfen (SCHWENZER, in: HONSELL/VOGT/WIEGAND [HRSG.], Basler Kommentar, Obligationenrecht I, 6. Aufl., Basel 2015, Art. 17 N. 15). Da vorliegend keine Partei vorbringt, eine Rechtswahl getroffen zu haben, ist ge- mäss Art. 117 Abs. 1 IPRG das Recht desjenigen Staates anwendbar, mit wel- chem der Vertrag am engsten zusammenhängt. Es wird vermutet, dass der engs- te Zusammenhang mit dem Staat besteht, in welchem die Partei, welche die cha- rakteristische Leistung erbringen soll, ihren gewöhnlichen Aufenthalt hat oder, wenn sie den Vertrag aufgrund einer beruflichen oder gewerblichen Tätigkeit ge- schlossen hat, in dem sich ihre Niederlassung befindet (Art. 117 Abs. 2 IPRG). Ähnlich wie bei der Bürgschaft, bei welcher auf die Erklärung des Bürgen abge- stellt wird (Art. 117 Abs. 3 lit. e IPRG), gilt beim Schuldbekenntnis dieses als cha- rakteristische Leistung. Auch wenn vorliegend durchaus gewisse Bezugspunkte zu G._____ und D._____ bestehen (speziell zum auf den Kreditvermittlungsver- trag anwendbaren Recht siehe unten unter Erw. II.1.5.1.2.), weisen diese nicht ei- ne Intensität auf, die es rechtfertigen würde, von der vorerwähnten gesetzlichen Vermutung abzuweichen, zumal das Schuldbekenntnis (act. 2/3/38) im Briefkopf Zürich aufführt und die Tätigkeit der Beklagten – und damit auch die vorliegend charakteristische Leistung – der Aufsicht der FINMA unterstellt ist, worauf auch in der Fusszeile des Schuldbekenntnisses hingewiesen wird. Demnach gelangt – entsprechend dem Sitz der Beklagten – schweizerisches Recht zur Anwendung.</w:t>
      </w:r>
    </w:p>
    <w:p>
      <w:r>
        <w:rPr>
          <w:b/>
        </w:rPr>
        <w:t>E. 1.2</w:t>
      </w:r>
    </w:p>
    <w:p>
      <w:r>
        <w:t>Zustandekommen des Schuldbekenntnisses Das Schuldbekenntnis gemäss Art. 17 OR ist ein einseitig verpflichtender Vertrag und bedarf keiner Schriftform. Sowohl ein mündliches als auch ein konkludentes Schuldbekenntnis ist möglich (BGE 127 III 147 E. 2). Das Schuldbekenntnis kann sowohl kausal als auch abstrakt sein. Von einem kausalen Schuldbekenntnis spricht man, wenn es den Verpflichtungsgrund selbst nennt oder dieser aus den</w:t>
      </w:r>
    </w:p>
    <w:p>
      <w:r>
        <w:t>- 10 - Umständen ersichtlich ist. Andernfalls wird von einem abstrakten Schuldbekennt- nis gesprochen (SCHWENZER, in: Basler Kommentar, Obligationenrecht I, a.a.O., Art. 17 N. 5 f.). Das Schreiben vom 1. März 2013, in welchem sich die Beklagte verpflichtet, ab 1. März 2013 einen Betrag von USD 1'050'000.– zu bezahlen, ist als Schuldbe- kenntnis gemäss Art. 17 OR zu qualifizieren (act. 2/3/38). Dieser Betrag steht un- bestritten im Zusammenhang mit dem in Frage stehenden Vertragsverhältnis der Parteien und der Provision, was auch unmissverständlich aus der übrigen Korres- pondenz hervorgeht (siehe act. 3/28-34). Es handelt sich demnach um ein kausa- les Schuldbekenntnis.</w:t>
      </w:r>
    </w:p>
    <w:p>
      <w:r>
        <w:rPr>
          <w:b/>
        </w:rPr>
        <w:t>E. 1.3</w:t>
      </w:r>
    </w:p>
    <w:p>
      <w:r>
        <w:t>Echtheit von Urkunden</w:t>
      </w:r>
    </w:p>
    <w:p>
      <w:r>
        <w:rPr>
          <w:b/>
        </w:rPr>
        <w:t>E. 1.3.1</w:t>
      </w:r>
    </w:p>
    <w:p>
      <w:r>
        <w:t>Die Beklagte bestreitet die Echtheit der eingereichten Korrespondenz (act. 2/3/20-37; act. 2/3/39-45; act. 2/3/47), insbesondere das Schreiben vom 1. März 2013 (act. 2/3/38), auf welches die Klägerin das entsprechende Schuld- bekenntnis stützt (act. 2/30 S. 10 f. Rz. 30 ff.).</w:t>
      </w:r>
    </w:p>
    <w:p>
      <w:r>
        <w:rPr>
          <w:b/>
        </w:rPr>
        <w:t>E. 1.3.2</w:t>
      </w:r>
    </w:p>
    <w:p>
      <w:r>
        <w:t>Die Beweislast für die Echtheit einer Urkunde trägt nach allgemeiner Beweislastregel (Art. 8 ZGB) diejenige Partei, die sich darauf beruft (Art. 178 Halbsatz 1 ZPO). Die Echtheit ist allerdings nur zu beweisen, wenn sie von der Gegenpartei ausreichend begründet bestritten wird (Art. 178 Halbsatz 2 ZPO). Die Bestreitung darf nicht bloss pauschal, sondern muss substantiiert erfolgen und beim Gericht ernsthafte Zweifel an der Echtheit der Urkunde hervorrufen (Urteil des Bundesgerichts 4A_197/2016 vom 4. August 2016, E. 4 m.w.N.). Erst wenn solche Zweifel vorgebracht sind, ist über die Echtheit der Urkunde Beweis abzu- nehmen und das Ergebnis zu würdigen. Die Beklagte hat die Echtheit des Schuldbekenntnisses lediglich pauschal mit Nichtwissen bestritten (act. 2/30 S. 11 Rz. 31). Eine nur ansatzweise Begründung, weshalb die Echtheit in Frage gestellt sein soll, fehlt indessen. Die blosse Be- hauptung, dass es sich nicht um die Originale handeln soll, ist keine ausreichend begründete Bestreitung ihrer Echtheit im Sinne von Art. 178 Halbsatz 2 ZPO. Mit</w:t>
      </w:r>
    </w:p>
    <w:p>
      <w:r>
        <w:t>- 11 - ihren Vorbringen vermag die Beklagte daher hinsichtlich der Echtheit der Urkun- den keine Zweifel aufkommen zu lassen. Kommt hinzu, dass die übrigen Mails und Dokumente bereits optisch mit dem für den vorliegenden Fall entscheidenden Schreiben vom 1. März 2013 (act. 2/3/38) übereinstimmen. Da somit keine kon- kreten Anhaltspunkte für eine Fälschung der betreffenden Urkunden ersichtlich bzw. dargetan sind, ist entsprechend von ihrer Echtheit auszugehen.</w:t>
      </w:r>
    </w:p>
    <w:p>
      <w:r>
        <w:rPr>
          <w:b/>
        </w:rPr>
        <w:t>E. 1.4</w:t>
      </w:r>
    </w:p>
    <w:p>
      <w:r>
        <w:t>Prozessrechtliche Folgen des Schuldbekenntnisses</w:t>
      </w:r>
    </w:p>
    <w:p>
      <w:r>
        <w:rPr>
          <w:b/>
        </w:rPr>
        <w:t>E. 1.4.1</w:t>
      </w:r>
    </w:p>
    <w:p>
      <w:r>
        <w:t>Prozessrechtlich führt das Schuldbekenntnis – ob abstrakt oder kausal – zu einer Beweislastumkehr. Als Folge davon obliegt es nunmehr dem Schuldner, den angegebenen Schuldgrund zu entkräften, also diesbezügliche rechtshindern- de oder rechtsaufhebende Tatsachen zu behaupten und zu beweisen (BGE 131 III 268 E. 3.2; BGE 105 II 183 E. 4; zuletzt: Urteil 4A_152/2013 vom 20. Septem- ber 2013 E. 2.3). Beim Schuldbekenntnis handelt es sich somit um ein Beweismit- tel, das den Bestand sämtlicher rechtsbegründender Tatbestandselemente (Art. 8 ZGB) ausweist (HURNI, in: HONSELL [HRSG.], Kurzkommentar OR, Basel 2014, Art. 17 N. 8). Demnach hat die Beklagte aufgrund ihres Schuldbekenntnisses und der daraus folgenden Beweislastumkehr den Nichtbestand der dem Schuldbekenntnis zu- grundeliegenden Ansprüche zu behaupten und zu beweisen.</w:t>
      </w:r>
    </w:p>
    <w:p>
      <w:r>
        <w:rPr>
          <w:b/>
        </w:rPr>
        <w:t>E. 1.4.2</w:t>
      </w:r>
    </w:p>
    <w:p>
      <w:r>
        <w:t>Bei der Behauptungslast, die nunmehr der Beklagten obliegt, handelt es sich nicht um eine Rechtspflicht, sondern um eine prozessuale Obliegenheit, de- ren Unterlassung zu einem prozessualen Nachteil führt, indem die betreffende Tatsache im Prozess unberücksichtigt bleibt. Die Tatsachen dürfen nicht nur in ih- ren Grundzügen dargelegt werden, sondern müssen substantiiert (in Einzeltatsa- chen gegliedert) behauptet werden; sie sind so umfassend, detailliert und klar darzulegen, dass darüber im Bestreitungsfall Beweis abgenommen werden kann. Tatsachenbehauptungen müssen so konkret formuliert werden, dass ein substan- tiiertes Bestreiten möglich ist oder der Gegenbeweis angetreten werden kann. Die Anforderungen an die Konkretisierung der Behauptungen ergeben sich einerseits aus den Tatbestandsmerkmalen der angerufenen Norm und andererseits aus</w:t>
      </w:r>
    </w:p>
    <w:p>
      <w:r>
        <w:t>- 12 - dem prozessualen Verhalten der Gegenpartei (Urteil des Bundesgerichts 4A_169/2011 vom 19. Juli 2011 E. 6.1 f. mit weiteren Hinweisen). Eine nicht oder nicht genügend substantiierte Behauptung kann nachträglich mittels eines Be- weisverfahrens nicht mehr korrigiert werden, führte dies ansonsten doch zu einer Aushöhlung der Substantiierungslast und damit zu einer Verletzung des Verhand- lungsgrundsatzes (statt vieler: Urteil des Handelsgerichts des Kantons Zürich HG110226 vom 18. März 2016 E. II.2.2.3.).</w:t>
      </w:r>
    </w:p>
    <w:p>
      <w:r>
        <w:rPr>
          <w:b/>
        </w:rPr>
        <w:t>E. 1.5</w:t>
      </w:r>
    </w:p>
    <w:p>
      <w:r>
        <w:t>Die dem Schuldbekenntnis zugrundeliegenden Ansprüche Die Beklagte stellt sich aus verschiedenen Gründen gegen die Bezahlung des von der Klägerin geforderten Betrages, weshalb die dem Schuldbekenntnis zugrund- liegenden Ansprüche zu prüfen sind.</w:t>
      </w:r>
    </w:p>
    <w:p>
      <w:r>
        <w:rPr>
          <w:b/>
        </w:rPr>
        <w:t>E. 1.5.1</w:t>
      </w:r>
    </w:p>
    <w:p>
      <w:r>
        <w:t>Internationaler Sachverhalt / Anwendbares Recht</w:t>
      </w:r>
    </w:p>
    <w:p>
      <w:r>
        <w:rPr>
          <w:b/>
        </w:rPr>
        <w:t>E. 1.5.1.1</w:t>
      </w:r>
    </w:p>
    <w:p>
      <w:r>
        <w:t>Wie erwähnt, ist von einem internationalen Sachverhalt auszugehen, da die Parteien ihren Sitz in unterschiedlichen Ländern haben (vgl. Erw. II.1.1.1.). Da keine der Parteien eine Rechtswahl geltend macht, ist gemäss Art. 117 Abs. 1 IPRG das Recht desjenigen Staates anwendbar, mit welchem der Vertrag am engsten zusammenhängt. Es wird vermutet, dass der engste Zusammenhang mit dem Staat besteht, in welchem die Partei, welche die charakteristische Leistung erbringen soll, ihren gewöhnlichen Aufenthalt hat oder, wenn sie den Vertrag auf- grund einer beruflichen oder gewerblichen Tätigkeit geschlossen hat, in dem sich ihre Niederlassung befindet (Art. 117 Abs. 2 IPRG). Bei Aufträgen und ähnlichen Dienstleistungsverträgen gilt als charakteristische Leistung die Leistung des Dienstleistungserbringers (Art. 117 Abs. 3 lit. c IPRG). Vorliegend handelt es sich unbestritten um einen Vertrag zur Kreditvermittlung. Als charakteristische Leistung gilt damit die Kreditvermittlung der Beklagten, wes- halb die Vermutung besteht, dass auf den in Frage stehenden Vertrag das Recht des Staates am Sitz der Beklagten, mithin schweizerisches Recht zur Anwendung gelangt.</w:t>
      </w:r>
    </w:p>
    <w:p>
      <w:r>
        <w:t>- 13 -</w:t>
      </w:r>
    </w:p>
    <w:p>
      <w:r>
        <w:rPr>
          <w:b/>
        </w:rPr>
        <w:t>E. 1.5.1.2</w:t>
      </w:r>
    </w:p>
    <w:p>
      <w:r>
        <w:t>Die Beklagte sieht einen engeren Zusammenhang mit G._____ als mit der Schweiz. Denn die vorausbezahlte Provision sei von einer ... Gesellschaft [des Staates G._____] geleistet worden, um den Kredit für eine … Gesellschaft [des Staates G._____] zu beschaffen. Auch habe der abzulösende Kredit von ei- ner … Bank [des Staates G._____] gestammt und als Sicherheit eines Grund- stücks in G._____ gedient. Sodann habe einerseits die Klägerin ihren Sitz in D._____, und andererseits hätten die Organe der Beklagten, J._____ und K._____, die ausschliesslich vom Ausland aus operierten, ihren Wohnsitz nicht in der Schweiz. Zudem habe der Kredit nicht auf dem schweizerischen Bankenmarkt beschafft werden müssen. Folglich richte sich eine Rückerstattung gestützt auf Art. 117 Abs. 1 IPRG nicht nach schweizerischem, sondern nach … Recht [des Staates G._____] (act. 2/30 S. 7 f. Rz. 14 ff.). Die in Art. 117 IPRG aufgestellten Vermutungstatbestände dienen der Rechtssi- cherheit und der Voraussehbarkeit des massgeblichen Rechts (BGE 133 III 93, E. 2.4; KELLER/KREN KOSTKIEWICZ, in: GIRSBERGER/HEINI/KELLER/KREN KOSTKIE- WICZ/SIEHR/VISCHER/VOLKEN [HRSG.], Zürcher Kommentar zum IPRG, 2. Aufl., Zü- rich 2004, Art. 117 N. 22 und N. 51; AMSTUTZ/VOGT/WANG, in: HONSELL/VOGT/SCHNYDER/BERTI [HRSG.], Basler Kommentar, Internationales Pri- vatrecht, 2. Aufl., Basel 2007, Art. 117 N. 7). Die Möglichkeit, durch einseitige Handlungen der Parteien, wie die Verlegung des Wohnsitzes oder des Arbeitsor- tes, das anwendbare Recht zu beeinflussen, steht dieser Zielsetzung entgegen. Die Vertragsparteien von Dienstleistungsverträgen dürften regelmässig ein Inte- resse daran haben, über Art und Umfang der zu erbringenden Leistung, das Ent- gelt sowie die Kündigungs- bzw. Auflösungsmöglichkeiten und Rückabwick- lungsmodalitäten Klarheit zu haben, weshalb diese Faktoren für die Vorausseh- barkeit des massgeblichen Rechts die entscheidenden Anknüpfungsmerkmale sind. Der Wohnsitz der Organe einer Partei kann deshalb als Anknüpfungstat- sache ebenso wenig eine Rolle spielen wie der faktische Arbeitsort ihrer Organe. Der vorliegend in Frage stehende Kreditvermittlungsvertrag wurde zwar im Zuge mehrerer Vorgänge in G._____ geschlossen. Zu der zu erbringenden Dienstleis- tung – nämlich zur Kreditvermittlung – sind diese Vorgänge jedoch nur von unter-</w:t>
      </w:r>
    </w:p>
    <w:p>
      <w:r>
        <w:t>- 14 - geordneter Bedeutung. Im Interesse der Rechtssicherheit und Voraussehbarkeit für die Parteien ist vielmehr auf den Sitz der Kreditvermittlungsgesellschaft abzu- stellen. Dies nicht zuletzt auch deshalb, weil sich die Beklagte in ihrer Eigenwer- bung – auch gegenüber der Klägerin – als eine dem schweizerischen Recht un- terliegende (supervised according to Swiss law) unabhängige Vermögensverwal- terin (independent Swiss asset manager) anpreist bzw. angepriesen hat, welche ihren Kunden schweizerische Sicherheit und Stabilität (Swiss security and solidity) biete, durch eine SRO (Selbstregulierungsorganisation) beaufsichtigt werde (su- pervised by a SRO) und als solche strikte Regeln befolgen müsse (act. 2/3/3 und act. 2/3/24, www.B'._____.ch/B'._____). Auch dies spricht für die Anwendbarkeit von schweizerischem Recht. Kommt hinzu, dass es den Parteien auch frei ge- standen hätte, eine Rechtswahl zugunsten … Rechts [des Staates G._____] zu vereinbaren. Dies haben sie jedoch nicht getan. Demnach ist auch weiterhin von der gesetzlichen Vermutung von Art. 117 Abs. 2 IPRG auszugehen, weshalb auf das vorliegend in Frage stehende Vertragsver- hältnis schweizerisches Recht zur Anwendung gelangt.</w:t>
      </w:r>
    </w:p>
    <w:p>
      <w:r>
        <w:rPr>
          <w:b/>
        </w:rPr>
        <w:t>E. 1.5.2</w:t>
      </w:r>
    </w:p>
    <w:p>
      <w:r>
        <w:t>Vertragsparteien des Kreditvermittlungsvertrags</w:t>
      </w:r>
    </w:p>
    <w:p>
      <w:r>
        <w:rPr>
          <w:b/>
        </w:rPr>
        <w:t>E. 1.5.2.1</w:t>
      </w:r>
    </w:p>
    <w:p>
      <w:r>
        <w:t>Die Klägerin stellt sich auf den Standpunkt, dass die zu beurteilende Vereinbarung zwischen den Parteien zustande gekommen sei. Sie sei von der H._____ mit der Kreditvermittlung beauftragt worden und habe ihrerseits die Be- klagte mit dieser Aufgabe beauftragt. Die Zession der H._____ sei nur erfolgt, um allfällige Schwierigkeiten bei der Aktivlegitimation zu vermeiden (act. 2/1 S. 2 Ziff. 1 und Ziff. 8). Die Beklagte bringt dagegen vor, dass das Schreiben vom 10. November 2010 als Vereinbarung zwischen der H._____ und der Beklagten zu verstehen sei (act. 2/30 S. 9 Rz. 23).</w:t>
      </w:r>
    </w:p>
    <w:p>
      <w:r>
        <w:rPr>
          <w:b/>
        </w:rPr>
        <w:t>E. 1.5.2.2</w:t>
      </w:r>
    </w:p>
    <w:p>
      <w:r>
        <w:t>Aus der Korrespondenz der Parteien – insbesondere aus den Schreiben der Beklagten vom 8. November 2010, vom 10. November 2010 sowie vom 29. Mai 2012 an Mr. L._____, welcher unbestritten Alleinaktionär und Direktor der Klägerin war und ist (act. 2/6; act. 24/2; act. 2/26/2) – geht eindeutig hervor, dass die Beklagte von der Klägerin mit der betreffenden Kreditvermittlungstätigkeit be-</w:t>
      </w:r>
    </w:p>
    <w:p>
      <w:r>
        <w:t>- 15 - auftragt wurde (act. 2/3/4; act. 2/3/6; act. 2/3/24). Selbst die Beklagte führt aus, dass der besagte Auftrag zur Organisation der Refinanzierung von der Klägerin und nicht von der H._____ gekommen sei (act. 2/30 S. 8 f. Rz. 20-24). Die Be- klagte bringt denn auch nichts vor, was gegen den klaren Wortlaut der beschrie- benen Korrespondenz sprechen könnte. Auch der Umstand, dass die H._____ die Zahlung der im Voraus zu entrichtenden Provision übernommen haben soll (act. 2/1 S. 3 Ziff. 2), sagt letztlich nichts darüber aus, wer Vertragspartei wurde (siehe dazu auch Erw. II.1.5.4.3.). Gleiches gilt hinsichtlich der bei den Akten lie- genden, von der Beklagten direkt an die H._____ gerichteten Schreiben (act. 2/3/9-14; act. 2/3/26), handelt es sich dabei doch lediglich um Anfragen im Rahmen der Due-Diligence-Prüfung, die notwendiger- und sinnvollerweise direkt an die H._____ zu richten waren. Da somit der entsprechende Kreditvermittlungsvertrag zwischen den Parteien ge- schlossen wurde, brauchte sich die Klägerin die vorliegend in Frage stehende Forderung auch nicht abtreten zu lassen. Nicht von Relevanz sind daher sämtli- che Vorbringen der Parteien betreffend die Gültigkeit der Abtretung der Forderung durch die H._____.</w:t>
      </w:r>
    </w:p>
    <w:p>
      <w:r>
        <w:rPr>
          <w:b/>
        </w:rPr>
        <w:t>E. 1.5.3</w:t>
      </w:r>
    </w:p>
    <w:p>
      <w:r>
        <w:t>Rechtliche Qualifikation des Kreditvermittlungsvertrags</w:t>
      </w:r>
    </w:p>
    <w:p>
      <w:r>
        <w:rPr>
          <w:b/>
        </w:rPr>
        <w:t>E. 1.5.3.1</w:t>
      </w:r>
    </w:p>
    <w:p>
      <w:r>
        <w:t>Die Klägerin geht beim betreffenden Kreditvermittlungsvertrag von ei- nem Mäklervertrag, die Beklagte hingegen von einem einfachen Auftrag aus (act. 10 S. 5 Rz. 4; act. 17 S. 8 Rz. 25).</w:t>
      </w:r>
    </w:p>
    <w:p>
      <w:r>
        <w:rPr>
          <w:b/>
        </w:rPr>
        <w:t>E. 1.5.3.2</w:t>
      </w:r>
    </w:p>
    <w:p>
      <w:r>
        <w:t>Durch den Mäklervertrag erhält der Mäkler den Auftrag, gegen eine Ver- gütung Gelegenheit zum Abschluss eines Vertrages nachzuweisen oder den Ab- schluss eines Vertrages zu vermitteln (Art. 412 Abs. 1 OR). Der Mäklervertrag steht im allgemeinen unter den Vorschriften über den einfachen Auftrag (Art. 412 Abs. 2 OR). Charakteristisch für den Mäklervertrag ist dessen Entgeltlichkeit und Erfolgsbedingtheit aufgrund der Tätigkeit des Mäklers zum Nachweis oder zur Vermittlung eines Vertrages. Der Mäklerlohn ist geschuldet, wenn der im Mäkler- vertrag bezeichnete Hauptvertrag infolge der Bemühungen des Mäklers abge- schlossen worden ist, wobei der Mäkler die Erfüllung dieser Bedingungen nach-</w:t>
      </w:r>
    </w:p>
    <w:p>
      <w:r>
        <w:t>- 16 - zuweisen hat (Art. 413 Abs. 1 OR; BGE 131 III 268 E. 5.1.2; BGE 124 III 481 E. 3a, je mit Hinweisen). Wird die Entlöhnung nicht an den Erfolg, sondern zum Beispiel an die vom Mäkler aufgewendete Zeit und den Aufwand gebunden, cha- rakterisiert sich der Vertrag unter Umständen nicht als Mäklervertrag, sondern als gewöhnlicher Auftrag, bei welchem der Beauftragte in der Gestaltung der für den Auftraggeber zu entfaltenden Aktivität weniger frei ist als der Mäkler (Urteil des Bundesgerichts 4C.120/2006 vom 30. Juni 2006 E. 2.2; BGE 131 III 268 E. 5.1.2 mit Hinweisen). Der Mäklervertrag unterliegt keinen Formvorschriften und kann auch konkludent geschlossen werden. Was die Parteien im Einzelnen vereinbart haben, bestimmt sich nach den allgemeinen Auslegungsregeln (Urteil des Bun- desgerichts 4C.120/2006 vom 30. Juni 2006 E. 2.3; Urteil des Bundesgerichts 4C.228/2005 vom 25. Oktober 2005 E. 3, mit Hinweisen; BGE 113 II 49 E. 1). Beim in Frage stehenden Vertrag zur Vermittlung eines Kreditvertrages liegt un- missverständlich ein Mäklervertrag vor. Die beklagtischen Vorbringen, wonach die vertraglichen Grundlagen mit keinem Wort erwähnen würden, dass das Honorar erst mit Abschluss des Vertrages zwischen diesen beiden geschuldet sei (act. 2/30 S. 9 f. Rz. 27), gehen fehl. Aus dem Brief der Beklagten vom</w:t>
      </w:r>
    </w:p>
    <w:p>
      <w:r>
        <w:rPr>
          <w:b/>
        </w:rPr>
        <w:t>E. 1.5.4</w:t>
      </w:r>
    </w:p>
    <w:p>
      <w:r>
        <w:t>Einwendungen der Beklagten gegen die Rückerstattung von USD 1 Million</w:t>
      </w:r>
    </w:p>
    <w:p>
      <w:r>
        <w:rPr>
          <w:b/>
        </w:rPr>
        <w:t>E. 1.5.4.1</w:t>
      </w:r>
    </w:p>
    <w:p>
      <w:r>
        <w:t>Zunächst bringt die Beklagte vor, dass der Vertrag mit keinem Wort da- rauf verweise, dass das Honorar erst bei Abschluss der Vereinbarung zwischen einem geeigneten Investoren und der H._____ geschuldet sei (act. 2/30 S. 9 f. Rz. 24 und Rz. 27). Diese Einwendung überzeugt nicht. Aus dem Schreiben der Beklagten vom</w:t>
      </w:r>
    </w:p>
    <w:p>
      <w:r>
        <w:t>- 17 -</w:t>
      </w:r>
    </w:p>
    <w:p>
      <w:r>
        <w:rPr>
          <w:b/>
        </w:rPr>
        <w:t>E. 1.5.4.2</w:t>
      </w:r>
    </w:p>
    <w:p>
      <w:r>
        <w:t>Weiter macht die Beklagte geltend, dass sie alles in ihrer Macht stehen- de getan habe, um den Kredit zu vermitteln (act. 2/30 S. 9 Rz. 24). Das Scheitern der Umfinanzierung sei einzig und allein dem Verhalten der H._____ zuzuschrei- ben (act. 2/30 S. 9 Rz. 25 und S. 11 Rz. 30). Es habe sich sodann herausgestellt, dass die Klägerin weder alle notwendigen Unterlagen korrekt geliefert habe, noch richtige Angaben gemacht habe, noch sei sie "völlig zu Unrecht" in die Verfahren in G._____ verwickelt gewesen. Diese Unregelmässigkeiten würden in der E-Mail von Herrn J._____ vom 27. Dezember 2013 zusammengestellt und auch im Schreiben der Beklagten vom 29. Mai 2012 bereits angesprochen (act. 2/30 S. 9 Rz. 24 und S. 11 Rz. 33). Gemäss Art. 413 Abs. 1 OR ist der Mäklerlohn nur verdient, wenn der erstrebte Vertragsabschluss infolge des Nachweises oder infolge der Vermittlung des Mäk- lers zustande gekommen ist (BGE 57 II 187 E. 1; BGE 76 II 378 E. 2). Der Auf- traggeber hat beim Mäklervertrag keine Abschlussverpflichtung, weshalb ihm auch kein schuldhaftes Verhalten vorgeworfen werden kann, wenn er nach positiv verlaufenen Vertragsverhandlungen ohne erkennbaren oder gar begründeten An- lass den Vertragsschluss verweigert (AMMANN, in: HONSELL/VOGT/WIEGAND [HRSG.], Basler Kommentar, Obligationenrecht I, 6. Aufl., Basel 2015, Art. 412 N. 11; GAUTSCHI, in: Berner Kommentar, a.a.O., Art. 412 N. 3; Entscheid des Zür- cher Handelsgerichts vom 30. Januar 1990, in: ZR 88 [1989] Nr. 99, S. 280 f.). Demnach ist ein Erfolgshonorar nur dann geschuldet, wenn ein neuer Kreditver- trag abgeschlossen wurde. Das ist vorliegend unbestritten nicht der Fall, weshalb auch kein Mäklerlohn geschuldet ist. Kommt hinzu, dass die pauschalen beklag-</w:t>
      </w:r>
    </w:p>
    <w:p>
      <w:r>
        <w:t>- 18 - tischen Vorbringen, wonach die Klägerin nicht alle notwendigen Unterlagen kor- rekt geliefert habe, nicht richtige Angaben gemacht habe und auch nicht "völlig zu Unrecht" in die Verfahren in G._____ verwickelt worden sei, einer hinreichenden Substantiierung eines allfälligen schuldhaften Verhaltens der Klägerin bzw. der H._____ ohnehin nicht zu genügen vermögen. So fehlen Ausführungen darüber, worin überhaupt die Untätigkeit der Klägerin und deren Fehlinformationen an ei- nen interessierten Kreditgeber, über dessen Identität sich die Beklagte aus- schweigt, bestanden haben soll.</w:t>
      </w:r>
    </w:p>
    <w:p>
      <w:r>
        <w:rPr>
          <w:b/>
        </w:rPr>
        <w:t>E. 1.5.4.3</w:t>
      </w:r>
    </w:p>
    <w:p>
      <w:r>
        <w:t>Sodann führt die Beklagte aus, dass das umstrittene Honorar von der M._____ Ltd. (fortan M._____) bezahlt worden sei. Es bestehe daher die Gefahr, dass nur die M._____ einen möglichen Anspruch auf Rückzahlung besitze, womit das Risiko für die Beklagte bestehe, nicht an die Berechtigte zu bezahlen und ei- ne Doppelzahlung gewärtigen zu müssen (act. 2/30 S. 12 Rz. 35 f.). Mit ihren Ausführungen stellt die Beklagte die Möglichkeit einer Beanspruchung durch eine Drittpartei bzw. die Nichtberechtigung der Klägerin am entsprechenden Anspruch in den Raum. Die blosse Gefahr einer Doppelzahlung lässt den klägeri- schen Anspruch indessen nicht per se untergehen. Eine Begründung, weshalb die Klägerin nicht die Anspruchsberechtigte sein soll, fehlt zudem gänzlich. Mit ihrem pauschalen Vorbringen ist die Beklagte daher ihren Substantiierungsanforderun- gen nicht nachgekommen, weshalb sich bereits deshalb diese Einwendung als nicht stichhaltig erweist. Kommt hinzu, dass ohnehin kein begründeter Anspruch einer Drittpartei gegen- über der Beklagten ersichtlich ist. Ein solcher fiele vorliegend nämlich nur im Rahmen der ungerechtfertigten Bereicherung oder unter den Voraussetzungen einer externen Schuldübernahme in Betracht. Beides ist vorliegend nicht gege- ben. Ein Anspruch aus ungerechtfertigter Bereicherung ist bereits deshalb zu ver- neinen, weil weder behauptet noch ersichtlich ist, dass eine Drittpartei irrtümlich eine Nichtschuld im Sinne von Art. 63 OR bezahlt haben soll. Gleiches gilt hin- sichtlich einer allfälligen externen Schuldübernahme. Eine solche beruht nämlich auf einem Vertrag zwischen der Übernehmerin der Schuld (Drittpartei) und der Gläubigerin (Beklagten), in dem sich die Übernehmerin verpflichtet, an die Stelle</w:t>
      </w:r>
    </w:p>
    <w:p>
      <w:r>
        <w:t>- 19 - der Schuldnerin (Klägerin) zu treten und diese von ihrer Verpflichtung zu befreien. Ein solcher Wechsel der Schuldnerin setzt aber die Zustimmung der Gläubigerin voraus (TSCHÄNI, in: HONSELL/VOGT/WIEGAND [HRSG.], Basler Kommentar, Obliga- tionenrecht I., a.a.O., Art. 176 N. 5). Eine solche Zustimmung der Gläubigerin (Beklagten) wurde aber weder behauptet, noch ist eine solche ersichtlich. Folglich liegt auch keine externe Schuldübernahme vor.</w:t>
      </w:r>
    </w:p>
    <w:p>
      <w:r>
        <w:rPr>
          <w:b/>
        </w:rPr>
        <w:t>E. 1.5.4.4</w:t>
      </w:r>
    </w:p>
    <w:p>
      <w:r>
        <w:t>Schliesslich bringt die Beklagte in der Begründung ihres Eventualan- trags vor, dass vom geleisteten Betrag in der Höhe von USD 1 Million ein 5 %-iger Aufwandersatz abzuziehen sei. Mit Schreiben vom 8. November 2010 habe die Beklagte nämlich die Rückerstattung unter Abzug des entsprechenden Aufwan- dersatzes definiert (act. 2/30 S. 13 Rz. 39). Die Klägerin bestreitet, dass eine Aufwandsentschädigung geschuldet sei. Denn der im Schreiben vom</w:t>
      </w:r>
    </w:p>
    <w:p>
      <w:r>
        <w:rPr>
          <w:b/>
        </w:rPr>
        <w:t>E. 1.5.5</w:t>
      </w:r>
    </w:p>
    <w:p>
      <w:r>
        <w:t>Einwendungen der Beklagten gegen die Bezahlung von USD 50'000.– Hinsichtlich des die USD 1 Million übersteigenden Betrages von USD 50'000.– bringt die Beklagte keinerlei (substantiierte) Einwendungen vor.</w:t>
      </w:r>
    </w:p>
    <w:p>
      <w:r>
        <w:rPr>
          <w:b/>
        </w:rPr>
        <w:t>E. 1.5.6</w:t>
      </w:r>
    </w:p>
    <w:p>
      <w:r>
        <w:t>Verzugszinsen Der verlangte Verzugszins ab 1. März 2013 stützt sich auf das Schuldbekenntnis vom 1. März 2013 (act. 2/3/38). Die Beklagte, die nunmehr auch diesbezüglich die Behauptungs- und Beweislast trägt, hat nichts vorgebracht, was den geforderten Verzugszins in Frage stellen würde. Die Beklagte ist somit seit dem 1. März 2013 in Verzug, weshalb der Verzugszins ab diesem Datum geschuldet ist.</w:t>
      </w:r>
    </w:p>
    <w:p>
      <w:r>
        <w:rPr>
          <w:b/>
        </w:rPr>
        <w:t>E. 1.6</w:t>
      </w:r>
    </w:p>
    <w:p>
      <w:r>
        <w:t>Fazit Beim Schreiben vom 1. März 2013 (act. 2/3/38) handelt es sich um ein Schuldbe- kenntnis der Beklagten. Die beklagtischen Einwendungen gegen die dem Schuld- bekenntnis zugrundeliegenden Ansprüche verfangen nicht. Der klägerische An- spruch ist daher begründet, weshalb die Klage vollumfänglich gutzuheissen ist. Entsprechend ist die Beklagte zu verpflichten, der Klägerin USD 1'050'000.– zu- züglich Zins zu 5 % seit 1. März 2013 zu bezahlen. 2. Kosten- und Entschädigungsfolgen</w:t>
      </w:r>
    </w:p>
    <w:p>
      <w:r>
        <w:rPr>
          <w:b/>
        </w:rPr>
        <w:t>E. 2</w:t>
      </w:r>
    </w:p>
    <w:p>
      <w:r>
        <w:t>Nach Aktenschluss eingereichte Abtretung ("Assignment") vom 3. bzw. 11. Oktober 2016 (act. 25/55)</w:t>
      </w:r>
    </w:p>
    <w:p>
      <w:r>
        <w:rPr>
          <w:b/>
        </w:rPr>
        <w:t>E. 2.1</w:t>
      </w:r>
    </w:p>
    <w:p>
      <w:r>
        <w:t>Gerichtskosten Die Höhe der Gerichtsgebühr bestimmt sich nach der Gebührenverordnung des Obergerichts vom 8. September 2010 (GebV OG; Art. 96 ZPO i.V.m. § 199 Abs. 1 GOG) und richtet sich in erster Linie nach dem Streitwert bzw. nach dem tatsäch- lichen Streitinteresse (§ 2 Abs. 1 lit. a GebV OG). Vorliegend beträgt der Streit- wert USD 1'050'000.–, d.h. CHF 937'734.– (Umrechnungskurs im Zeitpunkt der Rechtshängigkeit: 15. Juli 2014). Davon ausgehend ist die Gerichtsgebühr in An- wendung von § 4 Abs. 1 und 2 GebV OG – auch unter Berücksichtigung des Zeit- aufwandes des Gerichts – auf CHF 40'000.– festzusetzen. Ausgangsgemäss hat die Beklagte diese Kosten zu tragen (Art. 106 Abs. 1 ZPO). Die Gerichtskosten</w:t>
      </w:r>
    </w:p>
    <w:p>
      <w:r>
        <w:t>- 21 - sind – soweit möglich – aus dem von der Klägerin geleisteten Kostenvorschuss zu decken (Art. 111 Abs. 1 ZPO). Der Klägerin ist in diesem Umfang das Rückgriffs- recht auf die Beklagte einzuräumen (Art. 111 Abs. 2 ZPO). Die Kosten betreffend den Revisionsbeschluss vom 15. Dezember 2015 im Ver- fahren Geschäfts-Nr. HR150002 wurden bereits auf CHF 5'000.– festgesetzt (act. 5). Auch diese Kosten sind der Beklagten aufzuerlegen, denn die Beklagte hat sich innert der im Vergleich festgesetzten Widerrufsfrist nicht gemeldet und es statt dessen hingenommen, dass das Gericht das Verfahren zunächst abschrieb; zudem hat die Beklagte auch nicht dargetan, dass bzw. warum es für sie erst nach Ablauf der Widerrufsfrist unmöglich wurde, die Zahlung zu leisten. Die unnö- tig von ihr verursachten Kosten sind ihr daher ebenfalls aufzuerlegen (Art. 108 ZPO). Auch diese Kosten sind – soweit möglich – aus dem von der Klägerin ge- leisteten Kostenvorschuss zu decken (Art. 111 Abs. 1 ZPO). Der Klägerin ist in diesem Umfang das Rückgriffsrecht auf die Beklagte einzuräumen (Art. 111 Abs. 2 ZPO).</w:t>
      </w:r>
    </w:p>
    <w:p>
      <w:r>
        <w:rPr>
          <w:b/>
        </w:rPr>
        <w:t>E. 2.2</w:t>
      </w:r>
    </w:p>
    <w:p>
      <w:r>
        <w:t>Parteientschädigung Die Höhe der Parteientschädigung ist nach der Verordnung über die Anwaltsge- bühren vom 8. September 2010 zu bemessen (AnwGebV; Art. 105 Abs. 2 ZPO). Grundlage ist auch hier der Streitwert (§ 2 Abs. 1 lit. a AnwGebV). Bei einem Streitwert von CHF 937'734.– beträgt die Grundgebühr rund CHF 30'500.–. Sie ist mit der Begründung bzw. Beantwortung der Klage verdient und deckt auch den Aufwand für die Teilnahme an einer allfälligen Hauptverhandlung ab. Für die Teil- nahme an zusätzlichen Verhandlungen und für weitere notwendige Rechtsschrif- ten wird ein Zuschlag von je höchstens der Hälfte der Grundgebühr berechnet (§§ 4 Abs. 1 i.V.m. 11 Abs. 1 und 2 AnwGebV). Bei der Festsetzung der Partei- entschädigung ist vorliegend zu berücksichtigen, dass eine Vergleichsverhand- lung durchgeführt worden ist, ein Revisionsgesuch gestellt werden musste und eine zweite Rechtsschrift verfasst wurde. Die entsprechende Eingabe vom 24. Oktober 2016 (act. 24) ist nicht als notwendige Rechtsschrift zu erachten. Dies führt in Anwendung von §§ 4 und 11 AnwGebV zu einer Parteientschädigung</w:t>
      </w:r>
    </w:p>
    <w:p>
      <w:r>
        <w:t>- 22 - in der Höhe von CHF 45'000.–, welche die Beklagte der Klägerin zu bezahlen hat. Die von der Klägerin geleistete Sicherheit für die Parteientschädigung ist dieser zurückzuerstatten. Das Handelsgericht erkennt:</w:t>
      </w:r>
    </w:p>
    <w:p>
      <w:r>
        <w:rPr>
          <w:b/>
        </w:rPr>
        <w:t>E. 3</w:t>
      </w:r>
    </w:p>
    <w:p>
      <w:r>
        <w:t>Aufl., Zürich 2016, Art. 229 N. 9 f. m.w.N.; Urteil des Handelsgerichts des Kan- tons Zürich HG120008 vom 23. Oktober 2013 E. 4.2; DAETWYLER/STALDER, a.a.O., S. 211).</w:t>
      </w:r>
    </w:p>
    <w:p>
      <w:r>
        <w:rPr>
          <w:b/>
        </w:rPr>
        <w:t>E. 8</w:t>
      </w:r>
    </w:p>
    <w:p>
      <w:r>
        <w:t>November 2010 vorgeschlagene pauschalisierte Auslagenersatz sei von der Klägerin ebenso wenig akzeptiert worden wie ein Ersatz allfälliger konkreter, an- hand von Belegen auszuweisender Auslagen (act. 10 S. 8 f. Rz. 7). Gemäss Art. 413 Abs. 3 OR kann der Mäkler nur bei vertraglicher Zusicherung des Aufwendungsersatzes den Ersatz seiner Auslagen verlangen. Die Bezahlung eines Provisions- oder Auslagenvorschusses kann noch nicht als ausdrückliche Zusicherung des Aufwendungsersatzes aufgefasst werden (AMMANN, in: Basler Kommentar, Obligationenrecht I, a.a.O., Art. 413 N. 15 m.w.N.). Die Beklagte macht keine vertragliche Zusicherung geltend, sondern stützt sich lediglich auf ein von ihr verfasstes Schreiben vom 8. November 2010. Eine ver- tragliche Zusicherung ist damit aber bei Weitem nicht dargetan. Kommt hinzu, dass die Beklagte auch eine allfällige Aufwandsentschädigung, welche die Kläge- rin bestreitet, nicht dartut, obschon sie hierfür – wie erwähnt – nunmehr die Be- hauptungs- und Beweislast trägt. Damit vermag die Beklagte auch mit dieser Ein- wendung nicht durchzudringen.</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