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HG150091 vom 8. Juni 2015</w:t>
      </w:r>
    </w:p>
    <w:p>
      <w:r>
        <w:t>Zh Handelsgericht, 2015-06-08, DE</w:t>
      </w:r>
    </w:p>
    <w:p>
      <w:r>
        <w:rPr>
          <w:b/>
        </w:rPr>
        <w:t xml:space="preserve">Quelle: </w:t>
      </w:r>
      <w:r>
        <w:t>https://mcp.opencaselaw.ch/entscheid/zh_handelsgericht_HG150091</w:t>
      </w:r>
    </w:p>
    <w:p>
      <w:r>
        <w:t>FR: ZH_HANDELSGERICHT HG150091 du 8 juin 2015</w:t>
      </w:r>
    </w:p>
    <w:p>
      <w:r>
        <w:t>IT: ZH_HANDELSGERICHT HG150091 del 8 giugno 2015</w:t>
      </w:r>
    </w:p>
    <w:p>
      <w:pPr>
        <w:pStyle w:val="Heading2"/>
      </w:pPr>
      <w:r>
        <w:t>Erwägungen</w:t>
      </w:r>
    </w:p>
    <w:p>
      <w:r>
        <w:rPr>
          <w:b/>
        </w:rPr>
        <w:t>E. 15</w:t>
      </w:r>
    </w:p>
    <w:p>
      <w:r>
        <w:t>Mai 2015 (Datum Poststempel; Beginn der Rechtshängigkeit) – erfolgt und damit verspätet. Folglich fällt der Retentionsbeschlag in den Betreibungen Nr. …, Nr. … sowie Nr. … dahin. 3. Fehlendes Rechtsschutzinteresse Das Gericht tritt auf eine Klage oder ein Gesuch nur ein, sofern die Prozessvo- raussetzungen erfüllt sind; diese sind von Amtes wegen zu prüfen (Art. 59 f. ZPO). Erfolgen kann diese Prüfung in jedem Stadium des Verfahrens (DOMEJ TANJA, in: OBERHAMMER/DOMEJ/HAAS [HRSG.], Kurzkommentar ZPO, 2. Aufl., Ba- sel 2013, Art. 60 N. 2). Zu diesen Prozessvoraussetzungen zählt unter anderem das Rechtsschutzinteresse, was bedeutet, dass die Klägerin einen nach vernünf- tigem Ermessen wesentliches Interesse daran haben muss, dass ihr ihre Rechts- behauptung (Klagebegehren) gerichtlich bestätigt werde. Da es sich dabei somit um eine Anspruchsvoraussetzung handelt, führt das Fehlen des Rechtsschutzin- teresses nicht zur Abweisung der Klage, sondern zum Nichteintreten (ZINGG SIMON, in: Berner Kommentar, Schweizerische Zivilprozessordnung, Band I, Bern 2012, Art. 59 N. 31 ff.; DOMEJ TANJA, a.a.O., Art. 59 N. 24). Wie gesehen, fällt der Retentionsbeschlag in den Betreibungen Nr. …, Nr. … so- wie Nr. … dahin, weshalb in den genannten Betreibungen die jeweiligen Rechts- vorschläge auch nicht mehr definitiv beseitigt werden können. Diesbezüglich fehlt es demzufolge am Rechtsschutzinteresse, womit auf das Rechtsbegehren Ziffer 2 nicht einzutreten ist. 4. Fortgang des Verfahrens Im Übrigen ist das Verfahren anhand zu nehmen bzw. weiterzuführen. Es geht nun aber nur um eine reine Forderung ohne Sicherheit durch Retention. Der Klä-</w:t>
      </w:r>
    </w:p>
    <w:p>
      <w:r>
        <w:t>- 6 - gerin ist somit gemäss Art. 98 ZPO Frist anzusetzen, um den Kostenvorschuss zu leisten. 5. Kosten- und Entschädigungsfolgen Ausgangsgemäss hat die Klägerin die Kosten des bezüglich Rechtsbegehren Zif- fer 2 ergehenden Nichteintretensentscheides zu tragen. In Anwendung von § 4 Abs. 1 und 2 und § 10 Abs. 1 GebV OG und im Lichte des Verfahrensaufwandes ist die Gerichtsgebühr auf CHF 1'400.– festzusetzen. Die Gerichtskosten sind vom von der Klägerin zu leistenden Gerichtskostenvorschuss zu beziehen; bei Nichtleistung von der Klägerin direkt. Der Beklagten ist mangels Umtrieben keine Parteientschädigung zuzusprechen.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