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HG130129 vom 12. November 2014</w:t>
      </w:r>
    </w:p>
    <w:p>
      <w:r>
        <w:t>Zh Handelsgericht, 2014-11-12, DE</w:t>
      </w:r>
    </w:p>
    <w:p>
      <w:r>
        <w:rPr>
          <w:b/>
        </w:rPr>
        <w:t xml:space="preserve">Quelle: </w:t>
      </w:r>
      <w:r>
        <w:t>https://mcp.opencaselaw.ch/entscheid/zh_handelsgericht_HG130129</w:t>
      </w:r>
    </w:p>
    <w:p>
      <w:r>
        <w:t>FR: ZH_HANDELSGERICHT HG130129 du 12 novembre 2014</w:t>
      </w:r>
    </w:p>
    <w:p>
      <w:r>
        <w:t>IT: ZH_HANDELSGERICHT HG130129 del 12 novembre 2014</w:t>
      </w:r>
    </w:p>
    <w:p>
      <w:pPr>
        <w:pStyle w:val="Heading2"/>
      </w:pPr>
      <w:r>
        <w:t>Erwägungen</w:t>
      </w:r>
    </w:p>
    <w:p>
      <w:r>
        <w:rPr>
          <w:b/>
        </w:rPr>
        <w:t>E. 1</w:t>
      </w:r>
    </w:p>
    <w:p>
      <w:r>
        <w:t>Formelles Die örtliche und sachliche Zuständigkeit des Handelsgerichts des Kantons Zürich wurde ausdrücklich anerkannt (act. 9 S. 3) und ist gegeben (Art. 6 Abs. 3 ZPO i.V.m. § 44 lit. b GOG).</w:t>
      </w:r>
    </w:p>
    <w:p>
      <w:r>
        <w:rPr>
          <w:b/>
        </w:rPr>
        <w:t>E. 2</w:t>
      </w:r>
    </w:p>
    <w:p>
      <w:r>
        <w:t>Der Vorschuss ist ausschliesslich für die Finanzierung der in Ziffer 1 ange- führten Nachbesserung zu verwenden. Die Kläger werden verpflichtet, diese innert 18 Monaten, gerechnet ab dem Eingang der Vorschusszahlung, vor- zunehmen. Bei Säumnis ist der Vorschuss der Beklagten, verzinst zu 5%, vollumfänglich zurückzuerstatten. Bei Nichtsanierung bestimmter Positionen ist der dafür eingesetzte Kostenanteil (verzinst) zurückzuerstatten.</w:t>
      </w:r>
    </w:p>
    <w:p>
      <w:r>
        <w:rPr>
          <w:b/>
        </w:rPr>
        <w:t>E. 2.1</w:t>
      </w:r>
    </w:p>
    <w:p>
      <w:r>
        <w:t>Am 15. März 2011 erging folgendes (rechtskräftiges) Urteil des Handelsge- richts des Kantons Zürich (Prozess Nr. HG110007; act. 25/144 S. 140 f.): 1. Die Beklagte wird verpflichtet, den Klägern einen Vorschuss von CHF 242'740.– (inklusive 7,6 % MWSt) an die mutmasslichen Kosten der Sanierung der Mängel am Haus der Kläger (F._____-Strasse ... in Zürich) zu leisten, wobei der Kostenvorschuss (MWSt inklusive) zur Finanzierung ei- nerseits folgender Arbeiten, mit den nötigen Folge-/Begleitarbeiten (lit. a-e), entsprechend den angegebenen Kostenanteilen für die einzelnen Mängel- sachverhalte, und andererseits zur Abdeckung folgender Kosten (lit. f-h) dienen muss: a) Ersatz der Wand- und Bodenplatten im Hauseingangsbereich, Abdichtung Betonboden und Einbau Drainagematte, mit Anpassung der Entwässe- rungsrinne dazu (Kostenanteil CHF 11'760.–); b) Entstopfung des Pluvia-Entwässerungssystems, mit Ausbau des Eck- Schranks und Einsetzen von Stauringen (Kostenanteil CHF 7'020.–); c) Sanierung Riss Wendeltreppe (Kostenanteil CHF 7'800.–); d) Sanierung Aussentreppe mit Ersatz sämtlicher Treppenstufen und Sockel- sowie Stufenstirnplatten (Kostenanteil CHF 14'400.–);</w:t>
      </w:r>
    </w:p>
    <w:p>
      <w:r>
        <w:t>- 5 - e) Sanierung Marmorboden Attikawohnung mit Ersatz sämtlicher Marmorplat- ten und, je nach Ausführung, inklusive Entkoppelungsmatte (Kostenanteil CHF 123'600.–); f) Möbelauslagerung, Transporte und Einlagerung (zwei Monate, nur bei Sa- nierung des Marmorbodens; Kostenanteil CHF 67'200.–); g) Ersatzlogis (zwei Monate, nur während Sanierung des Marmorbodens, Kostenanteil CHF 10'000.–); h) Spezialversicherung (bei Auslagerung der Möbel sowie während Zeit der Sanierungen; Kostenanteil CHF 960.–).</w:t>
      </w:r>
    </w:p>
    <w:p>
      <w:r>
        <w:rPr>
          <w:b/>
        </w:rPr>
        <w:t>E. 2.2</w:t>
      </w:r>
    </w:p>
    <w:p>
      <w:r>
        <w:t>Die Kläger machen geltend, die von März 2012 bis Dezember 2012 durchge- führten Arbeiten der Ersatzvornahme hätten Kosten von CHF 283'084.35 verur- sacht, womit der Vorschuss von CHF 242'740.00 um CHF 40'344.35 überschritten</w:t>
      </w:r>
    </w:p>
    <w:p>
      <w:r>
        <w:t>- 6 - worden sei. Demgegenüber bestreitet die Beklagte den Nachforderungsanspruch der Kläger. 3. Rechtliches</w:t>
      </w:r>
    </w:p>
    <w:p>
      <w:r>
        <w:rPr>
          <w:b/>
        </w:rPr>
        <w:t>E. 3</w:t>
      </w:r>
    </w:p>
    <w:p>
      <w:r>
        <w:t>Die Kläger werden verpflichtet, spätestens 30 Tage nach Ablauf der Frist gemäss Ziffer 2 gegenüber der Beklagten über die Kosten der Nachbesse- rung abzurechnen und ihr einen allfälligen Überschuss zurückzuerstatten.</w:t>
      </w:r>
    </w:p>
    <w:p>
      <w:r>
        <w:rPr>
          <w:b/>
        </w:rPr>
        <w:t>E. 3.1</w:t>
      </w:r>
    </w:p>
    <w:p>
      <w:r>
        <w:t>Nachforderungsrecht bei Überschreitung des Bevorschussungsbetrags</w:t>
      </w:r>
    </w:p>
    <w:p>
      <w:r>
        <w:rPr>
          <w:b/>
        </w:rPr>
        <w:t>E. 3.1.1</w:t>
      </w:r>
    </w:p>
    <w:p>
      <w:r>
        <w:t>Die Parteien sind sich einig, dass mit dem Urteil des Handelsgerichts des Kantons Zürich vom 15. März 2011 nicht rechtskräftig über den endgültigen Ab- rechnungsbetrag entschieden wurde. Umstritten ist jedoch, ob es sich bei dem mit diesem Urteil zugesprochenen Bevorschussungsbetrag um den Maximalbetrag handelt, auf welchen die Kläger Anspruch haben zur Durchführung der Ersatzvor- nahme, mithin ob die Kläger überhaupt einen den Vorschussbetrag übersteigen- den Betrag verlangen können für die Deckung allenfalls höher ausgefallener Nachbesserungskosten. Die Kläger sind der Auffassung, aus dem Urteil des Handelsgerichts vom 15. März 2011 sowie Judikatur und Literatur ergebe sich, dass die Bejahung des Kostenvorschusses grundsätzlich auch einen Anspruch auf Nachforderung verlei- he. In concreto könne nicht von einer abschliessenden detaillierten Kostenprog- nose ausgegangen werden. Demgegenüber ist die Beklagte der Ansicht, beim zugesprochenen Bevorschussungsbetrag handle es sich um einen Maximalbe- trag. Es sei eine Reserve von 20% einberechnet worden. Hätten die Kläger einen höheren Betrag für die Ersatzvornahme erhalten wollen, hätten sie die teilweise Klageabweisung anfechten sollen, mit welcher die Klage im Mehrbetrag bezüglich des beantragten Vorschusses abgewiesen worden sei. Schon in den Prozessen vor dem Handelsgericht hätten die Kläger behauptet, die Sanierungskosten wür- den höher sein.</w:t>
      </w:r>
    </w:p>
    <w:p>
      <w:r>
        <w:rPr>
          <w:b/>
        </w:rPr>
        <w:t>E. 3.1.2</w:t>
      </w:r>
    </w:p>
    <w:p>
      <w:r>
        <w:t>Vorab stellt sich die Frage, ob die Kläger überhaupt einen Anspruch haben, von der Beklagten einen Betrag über den Vorschuss hinaus zu verlangen. In BGE 128 III 418 erwog das Bundesgericht: "Verschiedene Gründe sprechen dafür, von einer Pflicht des Unternehmers aus- zugehen, die Kosten für die Ersatzvornahme vorzuschiessen. Erstens ist dem Un-</w:t>
      </w:r>
    </w:p>
    <w:p>
      <w:r>
        <w:t>- 7 - ternehmer als der vertragsuntreuen Partei nach dem Grundsatz von Treu und Glauben zuzumuten, die Kosten für die Nachbesserung vorzufinanzieren, wie in der Literatur zutreffend festgehalten wird. Zweitens kann durch die Vorschuss- pflicht des Unternehmers, der seine Nachbesserungspflicht nicht selbst erfüllen will oder kann, erreicht werden, dass dieser nicht besser gestellt wird als der Un- ternehmer, der seine Nachbesserungspflicht sogleich selbst erfüllt (in diesem Sinn KOLLER, Werkmängel, a.a.O., S. 19). Und drittens hat der Besteller ein evidentes Interesse an der finanziellen Absicherung der Ersatzvornahme, während dem Un- ternehmer nur eine Pflicht überbunden wird, die er später ohnehin erfüllen müss- te. Um den Interessen des Unternehmers angemessen Rechnung zu tragen, ist die Vorschusspflicht aber an bestimmte Modalitäten zu binden. Erstens ist festzu- halten, dass der Besteller in der Verwendung des Kostenvorschusses nicht frei ist. Vielmehr ist der Vorschuss ausschliesslich für die Finanzierung der Ersatzvor- nahme bestimmt (WEBER, a.a.O., N. 80 zu Art. 98 OR; GAUCH, a.a.O., S. 487; KOLLER, Nachbesserungsrecht, a.a.O., S. 166). Zweitens ist der Besteller ver- pflichtet, nach Abschluss der "Ersatznachbesserung" über die Kosten abzurech- nen und dem Unternehmer einen allfälligen Überschuss zurückzuerstatten (WE- BER, a.a.O., N. 80 zu Art. 80 OR; GAUCH, a.a.O., S. 487; KOLLER, Nachbesse- rungsrecht, a.a.O., S. 166). Eine allfällige Nachforderung ist ausgeschlossen, wenn über den Umfang der Nachbesserungsarbeiten im Detail bereits entschie- den wurde und insofern eine "res iudicata" vorliegt. Drittens hat der Besteller den gesamten Betrag zurückzuerstatten, wenn er die Nachbesserung nicht innert an- gemessener Frist vornehmen lässt (KOLLER, Nachbesserungsrecht, a.a.O., S. 166)."</w:t>
      </w:r>
    </w:p>
    <w:p>
      <w:r>
        <w:rPr>
          <w:b/>
        </w:rPr>
        <w:t>E. 3.1.3</w:t>
      </w:r>
    </w:p>
    <w:p>
      <w:r>
        <w:t>Somit ist zu prüfen, ob das Handelsgericht im vorliegenden Fall im Urteil vom 15. März 2011 betreffend Vorschuss über den Umfang der Nachbesserungs- arbeiten im Detail bereits entschieden hat und insofern eine res iudicata vorliegt, womit eine allfällige Nachforderung ausgeschlossen wäre. Hierfür sind die massgeblichen Erwägungen aus diesem Urteil (Prozess Nr. HG110007; act. 25/144) heranzuziehen, welche nachfolgend wiedergegeben werden: "Soweit eine Leistungsklage möglich ist, besteht kein Interesse, den Anspruch bloss feststellen zu lassen. Der Anspruch auf Kostenvorschuss entsteht unter den gleichen Voraussetzungen wie der Anspruch auf Ersatzvornahme, mithin enthält die Klage auf einen Vorschuss bereits die Feststellung des Rechts zur Ersatzvor- nahme. Fraglich bleibt allerdings, ob der der Vorschussklage zugrunde liegende Sachverhalt für einen allfälligen späteren Abrechnungsprozess bindend wirkt (res iudicata). Nur dann, wenn dem Entscheid über die Bevorschussung Bindungswir- kung gegenüber einem späteren Abrechnungsprozess zukommt, lässt sich defini- tiv ein Feststellungsinteresse verneinen. Mit der Leistungsklage auf Bevorschussung der durch die Ersatzvornahme entstehenden Kosten werden die bei der Mängelbeseitigung auftretenden Auf-</w:t>
      </w:r>
    </w:p>
    <w:p>
      <w:r>
        <w:t>- 8 - wendungen bloss vorläufig bestimmt. Später sind diese Kosten sodann abzurech- nen. Ein Anspruch auf Abrechnung kann somit erst entstehen, wenn zuvor ein Kostenvorschuss bejaht wurde. Mit anderen Worten stellt die mit Urteil im Vor- schussprozess entschiedene Hauptfrage eine Vorfrage im Abrechnungsprozess dar, sofern dieser notwendig würde. In diesem Fall bindet das Urteil im Vor- schussprozess die Gerichte an den in ihm festgestellten Sachverhalt. Dem Ent- scheid über die Bevorschussung kommt somit Bindungswirkung gegenüber dem Abrechnungsprozess zu." (S. 13) "Der Umfang des Kostenvorschusses richtet sich nach den zu erwartenden Kos- ten der Ersatzvornahme und ist vom Besteller darzutun (BK-Koller, N 573 ff. zu Art. 366 OR). Da sich die Höhe des Kostenvorschusses nach dem mutmasslichen Aufwand bestimmt, kann ein strikter Beweis über die entstehenden Kosten der Ersatzvornahme nicht verlangt werden. Hingegen darf trotz Schätzung der mut- masslichen Kosten von der klagenden Partei verlangt werden, dass sie die Tatsa- chen, auf die sie ihren Anspruch stützt, möglichst konkret (substanziiert) behaup- tet. Da es nun aber bei einem verlangten Vorschuss eben nur um voraussichtliche Aufwendungen geht, können solche nicht im gleichen Mass wie beispielsweise angefallene Kosten begründet werden." (S. 90) "Die Kläger machten bei ihren Schätzungen eine Reserve von 20% der geschätz- ten Kosten geltend. Dies betraf nicht ihre mit Offerten erhobenen Kosten des Marmorbodenersatzes und auch nicht die Kosten für Ersatzlogis (act. 1 S. 16-18). Die Beklagte wollte bei den Schätzungen den Klägern lediglich eine Reserve von 5% zugestehen (act. 11 S. 32). Nach Gauch soll der Anspruch aufgrund der noch unbestimmten Höhe der aufzuwendenden Verbesserungskosten "grosszügig" bemessen werden (Gauch, a.a.O., N 1818). Niquille-Eberle äussert sich dazu nicht eindeutig, sieht allerdings in einer Abweichung von 10 bis 20 % der von den Parteien behaupteten Beträgen keine erhebliche Tatsache, die zum Beweis verstellt werden müsste (Martha Ni- quille-Eberle, a.a.O., N 42). Tendenziell eher für eine geringere Reserve spricht sich Koller aus. Seiner Ansicht nach spreche gegen eine grosszügige Bemes- sung, dass der Besteller erneut einen Kostenvorschuss anfordern könne (BK- Koller, N 576 zu Art. 366 OR). 2. Da die Nachbesserungskosten noch nicht definitiv feststehen, lässt sich auch der Vorschuss nicht exakt bestimmen. Gewisse Ungenauigkeiten sind zu akzeptieren. Gegen eine hohe Reserve spricht, dass der Unternehmer für seine wirtschaftliche Tätigkeit finanzielle Mittel benötigt und somit möglichst keine Gel- der vorschiessen soll, die letztlich nicht benötigt werden. Demgegenüber soll der Besteller möglichst davon befreit werden, infolge einer knappen Kalkulation des Vorschusses erneut an den Unternehmer für weitere Vorschüsse gelangen zu müssen. Sind die durch Dritte vorgenommenen Nachbesserungsarbeiten im Gange, so besteht für den Besteller ein erhebliches Interesse, dass die Arbeiten zu Ende geführt werden und nicht wegen fehlender liquider Mittel infolge eines ungenü- genden Kostenvorschusses gestoppt werden müssen. Überdies sind im Werkver- tragsrecht Toleranzgrenzen nicht unbekannt. So wird beispielsweise gestützt auf allgemeine Lebenserfahrung eine unverhältnismässige Überschreitung der Kos-</w:t>
      </w:r>
    </w:p>
    <w:p>
      <w:r>
        <w:t>- 9 - tenangabe erst bei einer Überschreitung von mehr als 10 % angenommen (Gauch, a.a.O., N 985), obwohl in diesen Fällen der Unternehmer seine eigenen Arbeiten abschätzen und in den Preis einkalkulieren und nicht wie hier die Kläger die Kosten für Drittarbeiten abschätzen muss. Schon aus diesem Grund rechtfertigt es sich, auch beim Vorschuss eine taugliche Reserve zu gewähren. Angemessen erscheint eine solche von 20%. Dies jedoch bei allen Nachbesserungskosten (ausgenommen Ersatzlogis). Denn nunmehr wird in Abweichung von den vormals beidseits noch offertengestützten Kostenannahmen durchwegs bzw. mit den ebenso geschätzten wenigen Korrek- turen einer Schätzung gefolgt, jener des Gutachters. Dies gilt auch für die Kosten der Möbelauslagerung. Im Übrigen waren die meisten Offerten der Kläger (aller- dings nicht die der G._____ AG) exklusive MWSt, jene der Beklagten meist inklu- sive. Da der Gutachter Schätzungen inklusive MWSt vornahm und dies über- nommen wird, rechtfertigt sich auch deshalb bei Annahme der Reserve eine ge- wisse Grosszügigkeit. 3.3.6. Fazit Kosten Nachbesserung Ausgehend von geschätzten Nachbesserungskosten von CHF 137'150.– plus CHF 56'000.– (Möbeltransport und -einlagerung) plus CHF 800.– (Spezial- versicherung), somit CHF 193'950.–, ergibt sich inklusive 20% Reserve darauf ein Betrag von CHF 232'740.–. Hinzu kommen noch CHF 10'000.– für Ersatzlogis. Man gelangt auf einen Gesamtbetrag von CHF 242'740.– (inklusive MWSt)." (S. 115 ff.) "Gemäss der bundesgerichtlichen Rechtsprechung ist eine Vorschusspflicht an bestimmte Modalitäten zu binden. Erstens ist der Besteller in der Verwendung des Kostenvorschusses nicht frei. Vielmehr ist der Vorschuss ausschliesslich für die Finanzierung der Ersatzvornahme bestimmt. Zweitens ist der Besteller verpflich- tet, nach Abschluss der "Ersatznachbesserung" über die Kosten abzurechnen und dem Unternehmer einen allfälligen Überschuss zurückzuerstatten. Drittens hat der Besteller den gesamten Vorschuss zurückzuerstatten, wenn er die Nachbesse- rung nicht innert angemessener Frist vornehmen lässt (BGE 128 III 416 ff.). Die Kläger machen keine Frist geltend, innert der sie die Ersatzvornahme vorzu- nehmen gedenken. Es ist eine angemessene Frist, hier von 18 Monaten, ab Ein- gang der Vorschusszahlung anzusetzen. Den Vorschuss haben die Kläger für die Behebung der vorn erwähnten fünf Män- gelsachverhalte zu verwenden. Die Kläger werden über diese Kosten der Nach- besserung abzurechnen haben." (S. 125 f.) Aus dem eingangs erwähnten Dispositiv sowie diesen Erwägungen geht hervor, dass sich das Handelsgericht mit den einzelnen Positionen im Detail befasst hat- te, gar ein Beweisverfahren durchgeführt und mehrere Gutachten – darunter ein ökonomisches – eingeholt wurden, die Klage im Mehrbetrag abgewiesen wurde, die Parteien sich dazu äussern konnten, beim Vorschuss eine Reserve einbe- rechnet wurde, eine Rückzahlungspflicht für den nicht beanspruchten Teil der Be-</w:t>
      </w:r>
    </w:p>
    <w:p>
      <w:r>
        <w:t>- 10 - vorschussung statuiert, jedoch keine Nachzahlungspflicht bei allfälliger Über- schreitung des bevorschussten Betrags festgehalten wurde. Demnach wurde im Entscheid betreffend Bevorschussung über den Umfang der Nachbesserungsar- beiten im Detail bereits entschieden, weshalb in Nachachtung der dargelegten bundesgerichtlichen Rechtsprechung eine Nachforderung ausgeschlossen ist. Zum gleichen Ergebnis führt die bis anhin vertretene Auffassung des Handelsge- richts des Kantons Zürich auch in anderen Fällen (vgl. Urteil vom 20. August 2012, HG110257-O): "3.4. Was die Modalitäten der Bevorschussung angeht, so sind die Kläger an- tragsgemäss zu verpflichten, nach Durchführung der Mängelbehebung über die Kosten und den von der Beklagten erhaltenen Kostenvorschuss abzurechnen und einen allfälligen Überschuss an die Beklagte zurückzuerstatten. Unter Hinweis auf die dargestellte Rechtsprechung des Bundesgerichts ist den Klägern überdies ei- ne angemessene Frist zur Nachbesserung und Abrechnung anzusetzen. Ange- sichts der Art der Arbeiten und der Bausumme erscheint eine Frist von drei Jah- ren als angemessen. Dass die Abrechnung unter "Nachschusspflicht der Beklag- ten" erfolge, wie es die Kläger verlangen (act. 1 S. 2), trifft nicht zu, da vorliegend über den Umfang der Nachbesserungsarbeiten entschieden wird (vgl. BGE 128 III 416, Erw. 4.2.2). Diesbezüglich ist Ziffer 2 des klägerischen Rechtsbegehrens nicht zu folgen." (S. 10) Demnach ging das Handelsgericht gar davon aus, dass der Vorbehalt einer Nachschusspflicht durch das Gericht nicht zulässig sei. Erst recht kann ein An- spruch auf Nachschuss ohne einen solchen Vorbehalt nicht bejaht werden.</w:t>
      </w:r>
    </w:p>
    <w:p>
      <w:r>
        <w:rPr>
          <w:b/>
        </w:rPr>
        <w:t>E. 3.1.4</w:t>
      </w:r>
    </w:p>
    <w:p>
      <w:r>
        <w:t>Demgemäss haben die Kläger keinen Anspruch auf Nachforderung, wes- halb die Klage bereits aus diesem Grund abzuweisen ist. Selbst wenn aber davon ausgegangen würde, dass eine Nachforderung grundsätzlich möglich wäre, müsste die Klage abgewiesen werden, haben die Kläger doch – wie sogleich auf- zuzeigen ist – nicht dargetan, inwiefern welche der im Urteil betreffend Vorschuss aufgeführten Positionen im Einzelnen, weshalb, um welchen Betrag, jeweils über- schritten worden sind. Darauf ist nun nachfolgend einzugehen.</w:t>
      </w:r>
    </w:p>
    <w:p>
      <w:r>
        <w:rPr>
          <w:b/>
        </w:rPr>
        <w:t>E. 3.2</w:t>
      </w:r>
    </w:p>
    <w:p>
      <w:r>
        <w:t>Überwälzung der Mehrkosten auf die Beklagte</w:t>
      </w:r>
    </w:p>
    <w:p>
      <w:r>
        <w:rPr>
          <w:b/>
        </w:rPr>
        <w:t>E. 3.2.1</w:t>
      </w:r>
    </w:p>
    <w:p>
      <w:r>
        <w:t>Die Beklagte macht geltend, die Reinigungs- und Bauleitungskosten seien für jeden Mängelsachverhalt separat festgelegt und den jeweiligen Sanierungs-</w:t>
      </w:r>
    </w:p>
    <w:p>
      <w:r>
        <w:t>- 11 - posten zugeordnet worden. Die übermässige Kostenüberschreitung sei auf un- sorgfältige Bauleitung zurückzuführen. Die Kläger hätten die entstandenen Mehr- kosten selbst zu verantworten, denn wenn den Klägern der Vorschuss nicht zur ordnungsgemässen Nachbesserung ausgereicht habe, sei dies auf unsorgfältige Bauleitung, überrissene Preise bei der Vergabe von Arbeiten sowie auf das über- setzte Bauleitungshonorar zurückzuführen. Ausserdem hätten die Kläger Arbeiten aufgeführt, welche nicht mehr von den festgestellten Mängelsachverhalten abge- deckt seien.</w:t>
      </w:r>
    </w:p>
    <w:p>
      <w:r>
        <w:rPr>
          <w:b/>
        </w:rPr>
        <w:t>E. 3.2.2</w:t>
      </w:r>
    </w:p>
    <w:p>
      <w:r>
        <w:t>Im handelsgerichtlichen Verfahren betreffend Bevorschussung der Ersatz- vornahmekosten hatten die Kläger von den ursprünglich gesamthaft behaupteten Kosten auf gerichtliche Aufforderung hin die Kosten für die Spezialversicherung, für das Ausräumen und Einlagern von Mobiliar, für die Baureinigung wie auch die Kosten für die Bauleitung nunmehr auf die entsprechenden Mängelsachverhalte verlegt. Sodann stellte das Handelsgericht in folgender Aufstellung nach Mängel- sachverhalten – ausdrücklich ohne Anerkennung der Beschränkung auf diese durch die Kläger – die von den Parteien behaupteten Nachbesserungskosten ("Kläger" bzw. "Beklagte") gegenüber: Mangel 1-5 Betrag Kläger/Betrag Beklagte 1. Fleckiger und durchfeuchteter Boden im 9'000.– (Anteil Offerte H._____) 1'000.– (Bauleitung Koordination) äusseren Bereich zwischen Hauseingangstü- re und Entwässerungsrinne, act. 6/30 Total Kläger CHF 10'500.– Total Beklagte CHF 3'600.– Ohne Wände mit Salzausblühungen und ohne Kein Auswechseln Platten, Reinigung mit Containerraum Wasserhochdruck, Durchfeuchtung mit Aqua- stop verhindern, Arbeitsfugen abdichten 2. Dachentwässerungssystem Pluvia 7'500.– (Schätzung) 2'000.– (Abdecken Reinigen) 1'500.– (Bauleitung Koordination) Total Kläger CHF 11'000.– Total Beklagte CHF 3'100.– Maurer und Sanitär 2 x 1'000.– = 2'000.– Abdecken und Reinigen 700.– Bauleitung 300-400.–</w:t>
      </w:r>
    </w:p>
    <w:p>
      <w:r>
        <w:t>- 12 - 3. Risse beim Übergang von der Deckenstirn 3'500.– (Anteil Offerte I._____) 2'500.– (Abdecken Reinigen) zur Decke beim Deckendurchbruch der Wen- 1'200.– (Schätzung Malerarbeiten) deltreppe, act. 6/31 1'500.– (Bauleitung Koordination) ohne Wände und Stukkaturen in den Schlaf- Total Kläger CHF 8'700.– zimmern des Obergeschosses mit unregelmäs- sig verteilten Rissen und ohne Risse an den Total Beklagte CHF 4'900 .– Stukkaturen im Attikageschoss und ohne Gipser 3'000.– Maler 1'200.– Rissbildungen an der Wohnraumdecke in den Abdecken/Reinigung 700.– Bereichen des ursprünglich erstellten und später Bauleitung 400-500.– wieder abgebrochenen Tonnendaches 4. Kalkausscheidungen auf Stufen der Aus- 15'000.– (Offerte J._____) 450.– (Offerte J._____ Schätzung) sentreppe 1'000.– (Schützen Gartenanlage/Anteil) act. 6/34 sowie teilsweise act. 6/32 + 6/33 2'000.– (Bauleitung Koordination/Anteil) Total Kläger CHF 18'450.– Total Beklagte CHF 3'600.–</w:t>
      </w:r>
    </w:p>
    <w:p>
      <w:r>
        <w:rPr>
          <w:b/>
        </w:rPr>
        <w:t>E. 3.2.3</w:t>
      </w:r>
    </w:p>
    <w:p>
      <w:r>
        <w:t>Eine Zuordnung der von den Klägern geltend gemachten Kos- ten/Rechnungen zu den einzelnen im Urteil aufgeführten Mängelsachverhalten und den entsprechenden Kostenanteilen des zugesprochenen Bevorschussungs- betrags (Dispositiv-Ziff. 1) ergibt folgende Aufstellung (vgl. auch act. 9 S. 24 f.): a) Ersatz der Wand- und Bodenplatten im Hauseingangsbereich, Abdichtung Be- tonboden und Einbau Drainagematte, mit Anpassung der Entwässerungsrinne dazu (Kostenanteil CHF 11'760.– gemäss Urteil) - Rechnung K._____ AG vom 31.10.2012 Fr. 18'448.85 - Rechnung Q._____ AG vom 2.11.2012 Fr. 4'420.45 - Rechnung R._____ Schreinerei Nr. 21769 vom 16.11.2012 Fr. 3'231.35 Total Sanierungsposition 1 Fr. 26'100.65 b) Entstopfung des Pluvia-Entwässerungssystems, mit Ausbau des Eck-Schranks und Einsetzen von Stauringen (Kostenanteil CHF 7'020.–); - Rechnung S._____ AG Nr. 20120931 vom 28.3.2012 Fr. 1'137.80 - Rechnung R._____ Schreinerei Nr. 212554 vom 9.5.2012 Fr. 2'305.25 - Rechnung T._____ AG Nr. 2012-70843 vom 4.4.2012 Fr. 1'779.40 - Rechnung T._____ AG Nr. 2012-11117 vom 20.11.2012 Fr. 2'812.85 Total Sanierungsposition 2 Fr. 8'035.30 c) Sanierung Riss Wendeltreppe (Kostenanteil CHF 7'800.–); - Rechnung U._____ AG Nr. 12806 vom 28.11.2012 Fr. 8'814.10 Total Sanierungsposition 3 Fr. 8'814.10 d) Sanierung Aussentreppe mit Ersatz sämtlicher Treppenstufen und Sockel- so- wie Stufenstirnplatten (Kostenanteil CHF 14'400.–); - Rechnung V._____ GmbH Nr. 2012.0142 vom 8.11.2012 Fr. 22'993.30 - Rechnung W._____ vom 30.11.2012 Fr. 1'449.20 Total Sanierungsposition 4 Fr. 24'442.50</w:t>
      </w:r>
    </w:p>
    <w:p>
      <w:r>
        <w:t>- 14 - e) Sanierung Marmorboden Attikawohnung mit Ersatz sämtlicher Marmorplatten und, je nach Ausführung, inklusive Entkoppelungsmatte (Kostenanteil CHF 123'600.–); - Rechnung BA._____ AG Nr. 27.19 15 vom 17.10.2012 Fr. 34'732.80 - Rechnung U._____ Nr. 12354 vom 5.7.2012 Fr. 15'936.45 - Rechnung K._____ AG Nr. 10043966 vom 17.9.2012 Fr. 75'600.00 - Rechnung K._____ AG Nr. 10047964 vom 31.10.2012 Fr. 6'322.40 - Rechnung BB._____ Nr. 121299 vom 9.11.2012 Fr. 7'986.60 - Rechnung BC._____ Nr. 1020671 vom 25.11.2012 Fr. 3'906.10 - Rechnung W._____ vom 30.11.2012 Fr. 12'237.20 - Rechnung T._____ AG Nr. 2012-72179 vom 12.10.2012 Fr. 251.30 - Rechnung T._____ AG Nr. 2012-72180 vom 12.10.2012 Fr. 220.00 Total Sanierungsposition 5 Fr. 157'192.85 f) Möbelauslagerung, Transporte und Einlagerung (zwei Monate, nur bei Sanie- rung des Marmorbodens; Kostenanteil CHF 67'200.–): Die Kläger machen für Reinigung und Zügelarbeiten zusammen folgende Kosten geltend: - Rechnung BD._____ AG Nr. 12120130 Fr. 5'624.05 - Rechnung BE._____ Nr. 108788 vom 21.5.2012 Fr. 2'592.00 Total Reinigung und Zügelarbeiten Fr. 8'216.05 Die Umzugskosten betrugen somit nach eigenen Angaben nur CHF 2'592.00 (act. 14 S. 5). g) Ersatzlogis (zwei Monate, nur während Sanierung des Marmorbodens, Kosten- anteil CHF 10'000.–): nicht beansprucht durch die Kläger. h) Spezialversicherung (bei Auslagerung der Möbel sowie während Zeit der Sa- nierungen; Kostenanteil CHF 960.–): nicht beansprucht durch die Kläger.</w:t>
      </w:r>
    </w:p>
    <w:p>
      <w:r>
        <w:t>- 15 - i) Reinigungskosten und Kosten Bauleitung Wie erwähnt haben die Kläger zu den Zügelarbeiten Reinigungskosten geltend gemacht: - Rechnung BD._____ AG Nr. 12120130 Fr. 5'624.05 - Rechnung BE._____ Nr. 108788 vom 21.5.2012 Fr. 2'592.00 Total Reinigung und Zügelarbeiten Fr. 8'216.05 Dazu haben sie pauschal Kosten der Bauleitung geltend gemacht: - Rechnung BF._____ Nr. 212322 vom 4.12.2012 Fr. 5'400.00 - Rechnung BF._____ Nr. 212321 vom 4.12.2012 Fr. 9'545.60 - Rechnung BF._____ Nr. 212222 vom 22.10.2012 Fr. 5'950.80 - Rechnung BF._____ Nr. 212115 vom 20.7.2012 Fr. 10'912.05 - Rechnung BF._____ Nr. 212162 vom 20.7.2012 Fr. 14.00 - Rechnung BF._____ Nr. 212024 vom 25.4.2012 Fr. 5'247.45 - Rechnung BF._____ Nr. 211386 vom 23.1.2012 Fr. 13'213.00 Total Endreinigung / Imprägnierung und Bauleitung Fr. 50'282.90</w:t>
      </w:r>
    </w:p>
    <w:p>
      <w:r>
        <w:rPr>
          <w:b/>
        </w:rPr>
        <w:t>E. 3.2.4</w:t>
      </w:r>
    </w:p>
    <w:p>
      <w:r>
        <w:t>Wie erwähnt wurden im Urteil vom 15. März 2011 die Bauleitungs- und Reinigungskosten bereits bei den einzelnen Mängelsachverhalten berücksichtigt, weshalb die Kläger sie nicht als Zusatzpositionen geltend machen können. Im vorliegenden Verfahren haben die Kläger die Reinigungskosten und Bauleitungs- kosten als separate Position zudem pauschal geltend gemacht, ohne die Teilbe- träge den einzelnen Mängelpositionen zuzuordnen. Gemäss Art. 55 Abs. 1 ZPO haben die Parteien dem Gericht die Tatsachen, auf die sie ihre Begehren stützen, darzulegen. Aus der Verhandlungsmaxime ergibt sich, dass die Kläger die Tatsa- chen so detailliert darzulegen haben, dass sie das Gericht unter eine gewisse Gesetzesbestimmung subsumieren kann. Die daraus sowie aus Art. 221 und 222 Abs. 2 ZPO fliessende Substanziierungslast besagt, dass die Partei die Tatsa- chen nicht nur pauschal behaupten, sondern zusätzlich in einer genügend detail- lierten Art und Weise schildern bzw. behaupten muss, sodass sie vom Gericht nachvollzogen und von der Gegenpartei bestritten werden können (Sutter- Somm/Hasenböhler/Leuenberger, ZPO-Kommentar, 2. Aufl., Art. 55 N 23). Es ist</w:t>
      </w:r>
    </w:p>
    <w:p>
      <w:r>
        <w:t>- 16 - somit nicht Aufgabe des Gerichtes, herauszuschälen, welche Teilbeträge an Bau- leitungs- und Reinigungskosten auf die einzelnen Mängelsachverhalte fallen, um beurteilen zu können, ob, inwiefern und weshalb die Sanierungskosten pro Positi- on überschritten wurden. Mithin haben die Kläger den geltend gemachten An- spruch auf Nachforderung des die Bevorschussung übersteigenden Aufwands nicht hinreichend substantiiert, weshalb die Klage auch aus diesem Grund abzu- weisen wäre. Schliesslich ist zu bemerken, dass die Kläger den einberechneten Betrag von CHF 67'200.00 für Möbelauslagerung, Transporte und Einlagerung of- fenbar nicht beansprucht haben, weshalb die Reserve sich zusätzlich um diesen Betrag erhöht hätte. 4. Fazit Zusammenfassend ist die Klage abzuweisen.</w:t>
      </w:r>
    </w:p>
    <w:p>
      <w:r>
        <w:rPr>
          <w:b/>
        </w:rPr>
        <w:t>E. 4</w:t>
      </w:r>
    </w:p>
    <w:p>
      <w:r>
        <w:t>Im Mehrbetrag wird die Klage abgewiesen.</w:t>
      </w:r>
    </w:p>
    <w:p>
      <w:r>
        <w:rPr>
          <w:b/>
        </w:rPr>
        <w:t>E. 5</w:t>
      </w:r>
    </w:p>
    <w:p>
      <w:r>
        <w:t>Prozesskosten Ausgangsgemäss werden die Kläger kosten- und entschädigungspflichtig (Art. 106 Abs. 1 ZPO). Die Höhe der Gerichtsgebühr wird nach der obergerichtli- chen Gebührenverordnung (GebV OG) und jene der Parteientschädigung nach der obergerichtlichen Verordnung über die Anwaltsgebühren (AnwGebV) be- stimmt (Art. 96 ZPO i.V.m. § 199 Abs. 1 GOG bzw. § 48 Abs. 1 lit. c und Abs. 2 des zürcherischen Anwaltsgesetzes) und richtet sich in erster Linie nach dem Streitwert bzw. nach dem tatsächlichen Streitinteresse (§ 2 Abs. 1 lit. a GebV OG bzw. AnwGebV). Vorliegend ist von einem Streitwert von CHF 40'344.35 auszu- gehen (Art. 91 Abs. 1 ZPO; act. 1 S. 1), wobei die Gerichtsgebühr in Anwendung von § 4 Abs. 1 und 2 GebV OG, auch unter Berücksichtigung der Tatsache, dass eine Vergleichsverhandlung durchgeführt wurde und das Verfahren aufgrund des Aktenumfanges komplex und aufwendig war, auf CHF 6'400.– zu veranschlagen ist. Die Kläger sind zudem zu verpflichten, der Beklagten eine Parteientschädi- gung zu bezahlen, welche in Anwendung von § 4 Abs. 1 und § 11 Abs. 1 und 2 AnwGebV auf CHF 8'000.– (netto) festzusetzen ist.</w:t>
      </w:r>
    </w:p>
    <w:p>
      <w:r>
        <w:t>- 17 -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