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HG120047 vom 16. Oktober 2012</w:t>
      </w:r>
    </w:p>
    <w:p>
      <w:r>
        <w:t>Zh Handelsgericht, 2012-10-16, DE</w:t>
      </w:r>
    </w:p>
    <w:p>
      <w:r>
        <w:rPr>
          <w:b/>
        </w:rPr>
        <w:t xml:space="preserve">Quelle: </w:t>
      </w:r>
      <w:r>
        <w:t>https://mcp.opencaselaw.ch/entscheid/zh_handelsgericht_HG120047</w:t>
      </w:r>
    </w:p>
    <w:p>
      <w:r>
        <w:t>FR: ZH_HANDELSGERICHT HG120047 du 16 octobre 2012</w:t>
      </w:r>
    </w:p>
    <w:p>
      <w:r>
        <w:t>IT: ZH_HANDELSGERICHT HG120047 del 16 ottobre 2012</w:t>
      </w:r>
    </w:p>
    <w:p>
      <w:pPr>
        <w:pStyle w:val="Heading2"/>
      </w:pPr>
      <w:r>
        <w:t>Erwägungen</w:t>
      </w:r>
    </w:p>
    <w:p>
      <w:r>
        <w:rPr>
          <w:b/>
        </w:rPr>
        <w:t>E. 3</w:t>
      </w:r>
    </w:p>
    <w:p>
      <w:r>
        <w:t>Rechtliches Im Gegensatz zum schweizerischen Obligationenrecht (OR) unterscheidet das CISG nicht zwischen Nichterfüllung, Verzug und positiver Vertragsverletzung bzw. Gewährleistung. Vielmehr kennt es einen einheitlichen Tatbestand der Vertrags- verletzung für das gesamte Leistungsstörungsrecht (HUGUENIN, Obligationenrecht Besonderer Teil, 3. Auflage, Zürich 2008, Rz 398). Eine solche Vertragsverlet- zung liegt vor, wenn der Käufer den geschuldeten Kaufpreis nicht nach Massgabe des Vertrages bezahlt (Art. 53 CISG). Gemäss Art. 62 CISG kann der Verkäufer diesfalls die Bezahlung des Kaufpreises vom Käufer verlangen.</w:t>
      </w:r>
    </w:p>
    <w:p>
      <w:r>
        <w:rPr>
          <w:b/>
        </w:rPr>
        <w:t>E. 4</w:t>
      </w:r>
    </w:p>
    <w:p>
      <w:r>
        <w:t>Subsumption Die Vertrag T/15138 vom 28. Februar/1. März 2011 sieht die vollständige Bezah- lung des Kaufpreises bis zum Ablauf einer Woche nach der ersten Warenlieferung vor. Diese erfolgte gemäss unbestrittenem Sachverhalt am Dienstag, 29. März 2011. Damit hätte der gesamte Kaufpreis bis 5. April 2011 bezahlt werden müs- sen. Indem die Beklagte die Restforderung von USD 85'992 bis heute nicht be- zahlte, hat sie das Vertragsverhältnis verletzt. Die Klägerin hat nach dem Gesag- ten Anspruch auf Bezahlung des Kaufpreises zuzüglich Zins. Dieser entsteht ge-</w:t>
      </w:r>
    </w:p>
    <w:p>
      <w:r>
        <w:t>- 7 - mäss Art. 78 CISG ab dem Zeitpunkt, in dem eine Partei es versäumt, den Kauf- preis zu bezahlen, mithin ab dem 6. April 2011. Die Zinshöhe wird im CISG nicht geregelt. Diese bemisst sich nach dem ergänzend anwendbaren nationalen Recht, das nach den einschlägigen Kollisionsregeln zu ermitteln ist: vorliegend nach Art. 104 OR (siehe Art. 116 Abs. 1 IPRG; a.A.: BACHER KLAUS, in: Kommen- tar zum Einheitlichen UN-Kaufrecht – CISG, 5. Aufl. 2008, Art. 78 Rz. 26 ff.). Der Umstand, dass die Klägerin die Zahlungsfrist wiederholt verlängerte, schmälert ih- ren Zinsanspruch nicht. Die Nachfristansetzung beeinträchtigt den Anspruch auf Schadenersatz wegen verspäteter Erfüllung nicht (Art. 47 Abs. 2 CISG). Die Nachfristansetzung hat mithin (im Zweifel) nicht den Charakter eines Stundungs- angebots (siehe MÜLLER-CHEN MARKUS, in: Kommentar zum Einheitlichen UN- Kaufrecht – CISG, a.a.O., Art. 47 Rz. 18). Die Klage ist deshalb antragsgemäss gutzuheissen.</w:t>
      </w:r>
    </w:p>
    <w:p>
      <w:r>
        <w:rPr>
          <w:b/>
        </w:rPr>
        <w:t>E. 5</w:t>
      </w:r>
    </w:p>
    <w:p>
      <w:r>
        <w:t>Kosten- und Entschädigungsfolgen Ausgangsgemäss wird die Beklagte kosten- und entschädigungspflichtig (Art. 106 Abs. 1 ZPO). Dabei ist der anwaltlichen Vertretung der Klägerin gestützt auf § 4 Abs. 1 AnwGebV angemessen Rechnung zu tragen. Nachdem die Klägerin kei- nen entsprechenden Antrag gestellt hat, enthält die Parteientschädigung schon deshalb keine Mehrwertsteuer. Der Streitwert beträgt CHF 80'364.49 (USD 85'992 zum Umrechnungskurs 1 : 0.934558; Stichtag: 9. März 2012).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