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HG110271 vom 7. April 2014</w:t>
      </w:r>
    </w:p>
    <w:p>
      <w:r>
        <w:t>Zh Handelsgericht, 2014-04-07, DE</w:t>
      </w:r>
    </w:p>
    <w:p>
      <w:r>
        <w:rPr>
          <w:b/>
        </w:rPr>
        <w:t xml:space="preserve">Quelle: </w:t>
      </w:r>
      <w:r>
        <w:t>https://mcp.opencaselaw.ch/entscheid/zh_handelsgericht_HG110271</w:t>
      </w:r>
    </w:p>
    <w:p>
      <w:r>
        <w:t>FR: ZH_HANDELSGERICHT HG110271 du 7 avril 2014</w:t>
      </w:r>
    </w:p>
    <w:p>
      <w:r>
        <w:t>IT: ZH_HANDELSGERICHT HG110271 del 7 aprile 2014</w:t>
      </w:r>
    </w:p>
    <w:p>
      <w:pPr>
        <w:pStyle w:val="Heading2"/>
      </w:pPr>
      <w:r>
        <w:t>Erwägungen</w:t>
      </w:r>
    </w:p>
    <w:p>
      <w:r>
        <w:rPr>
          <w:b/>
        </w:rPr>
        <w:t>E. 3</w:t>
      </w:r>
    </w:p>
    <w:p>
      <w:r>
        <w:t>Ziffern 1 und 2 der von der Klägerin 3 gestellten Rechtsbegehren werden abgewiesen.</w:t>
      </w:r>
    </w:p>
    <w:p>
      <w:r>
        <w:rPr>
          <w:b/>
        </w:rPr>
        <w:t>E. 4</w:t>
      </w:r>
    </w:p>
    <w:p>
      <w:r>
        <w:t>In Gutheissung der jeweiligen Ziffer 3 der von den Klägerinnen jeweils ge- stellten Rechtsbegehren wird es der Beklagten unter Androhung der Bestra- fung ihrer Organe nach Art. 292 StGB (Busse) im Widerhandlungsfall verbo- ten, die folgenden Artikel aus folgenden Zeitschriften zum Zwecke der Dokumentenlieferung zu vervielfältigen oder vervielfältigen zu lassen und elektronisch zu versenden oder versenden zu lassen: a) "...'', in: A1._____, Vol 252 (2005), S. 1747-1753; b) "…", in: A2._____, Vol 229 (2006), Issue 1-3, S. 73-87; c) "…"; in: B1._____, Ausgabe 20 (2007), S. 3096-3102; d) "…", in: B1._____, Ausgabe 19 (2007), S. 3050-3054; e) "…", in: C1._____, Vol 76, No 6 / October 2007, S. 1245-1253; f) "…", in: C2._____, Vol 45, No 1 (2006), S. 1-8.</w:t>
      </w:r>
    </w:p>
    <w:p>
      <w:r>
        <w:rPr>
          <w:b/>
        </w:rPr>
        <w:t>E. 5</w:t>
      </w:r>
    </w:p>
    <w:p>
      <w:r>
        <w:t>Die Gerichtsgebühr wird festgesetzt auf CHF 9'300.–.</w:t>
      </w:r>
    </w:p>
    <w:p>
      <w:r>
        <w:rPr>
          <w:b/>
        </w:rPr>
        <w:t>E. 6</w:t>
      </w:r>
    </w:p>
    <w:p>
      <w:r>
        <w:t>Die Kosten werden den Parteien je zur Hälfte auferlegt und aus dem von den Klägerinnen geleisteten Kostenvorschuss gedeckt. Den Klägerinnen wird für die der Beklagten auferlegte Hälfte der Kosten das Rückgriffsrecht auf die Beklagte eingeräumt.</w:t>
      </w:r>
    </w:p>
    <w:p>
      <w:r>
        <w:rPr>
          <w:b/>
        </w:rPr>
        <w:t>E. 7</w:t>
      </w:r>
    </w:p>
    <w:p>
      <w:r>
        <w:t>Den Parteien wird keine Parteientschädigung zugesprochen.</w:t>
      </w:r>
    </w:p>
    <w:p>
      <w:r>
        <w:t>- 57 -</w:t>
      </w:r>
    </w:p>
    <w:p>
      <w:r>
        <w:rPr>
          <w:b/>
        </w:rPr>
        <w:t>E. 8</w:t>
      </w:r>
    </w:p>
    <w:p>
      <w:r>
        <w:t>Schriftliche Mitteilung an die Parteien.</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50'000.–. Zürich, 7. April 2014 Handelsgericht des Kantons Zürich Vizepräsident: Gerichtsschreiberin: Dr. George Daetwyler Katja Diethelm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