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HG110266 vom 19. Dezember 2013</w:t>
      </w:r>
    </w:p>
    <w:p>
      <w:r>
        <w:t>Zh Handelsgericht, 2013-12-19, DE</w:t>
      </w:r>
    </w:p>
    <w:p>
      <w:r>
        <w:rPr>
          <w:b/>
        </w:rPr>
        <w:t xml:space="preserve">Quelle: </w:t>
      </w:r>
      <w:r>
        <w:t>https://mcp.opencaselaw.ch/entscheid/zh_handelsgericht_HG110266</w:t>
      </w:r>
    </w:p>
    <w:p>
      <w:r>
        <w:t>FR: ZH_HANDELSGERICHT HG110266 du 19 décembre 2013</w:t>
      </w:r>
    </w:p>
    <w:p>
      <w:r>
        <w:t>IT: ZH_HANDELSGERICHT HG110266 del 19 dicembre 2013</w:t>
      </w:r>
    </w:p>
    <w:p>
      <w:pPr>
        <w:pStyle w:val="Heading2"/>
      </w:pPr>
      <w:r>
        <w:t>Erwägungen</w:t>
      </w:r>
    </w:p>
    <w:p>
      <w:r>
        <w:rPr>
          <w:b/>
        </w:rPr>
        <w:t>E. 19</w:t>
      </w:r>
    </w:p>
    <w:p>
      <w:r>
        <w:t>Juni 2012. Geplant sei gewesen, dass BB._____ und I._____ nach Zuschlag des EPC-Vertrags eine Zweckgesellschaft hätten gründen sollen. Entsprechend habe H._____ auch nie rechtsgültig als Geschäftsführer dieser angeblichen Kon- sortien handeln können (act. 20 Rz 4-5, 15). Weder die Klägerin noch die E._____ oder eine andere Konzerngesellschaft der AA._____ habe der Beklagten oder ei- nem der Konsortien den Auftrag zur Erstellung eines Businessplans erteilt. Auch D._____ habe keiner der an der Sitzung vom 22. Juni 2011 beteiligten Gesell- schaften einen Auftrag erteilt, für die Klägerin oder deren Tochtergesellschaften entgeltlich tätig zu werden. Alle Firmen hätten sich auf eigenes Risiko und auf ei- gene Kosten am Tender beteiligt. Der Businessplan sei im Rahmen des Tenders für den ECP-Vertrag durch die I._____ in Eigenregie erstellt worden (act. 20 Rz 5, 17). Weder die Klägerin noch die E._____ noch die B._____ würden in Ziff. 9 des Sitzungsprotokolls vom 7./8. Juli 2011 (act. 14/21) erwähnt. Dort stehe sinnge- mäss, dass I._____ und J._____ den Businessplan für das Projekt entwickeln sollten und dass M._____ die für die Vorbereitung dieses Businessplans notwen- digen Informationen zur Verfügung stellen werde. Von einem Auftrag sei im er- wähnten Protokoll keine Rede. Auch in den ins Recht gelegten E-Mails sei weder von der Klägerin noch von der E._____ noch von der Beklagten die Rede (act. 20 Rz 21). Von einer Vergütung für die umfangreichen Vorarbeiten sei nie die Rede gewesen. Das sei eben das Risiko bei einer erfolglosen Teilnahme an einer Sub- mission (act. 20 Rz 31). Die AA._____ habe niemanden für sich arbeiten lassen und schon gar nicht die Beklagte. Arbeiten seien einzig durch die I._____ erbracht worden. Alle Beteiligten hätten sich aus eigenem Interesse darauf konzentriert, baldmöglichst F._____ den Abschluss des EPC-Vertrages zu ermöglichen, um dann davon zu profitieren. Der vielzitierte Businessplan sei weder von der Beklag- ten noch von einem Konsortium, an welchem die Beklagte beteiligt gewesen sein soll, erarbeitet worden, sondern von der I._____. Zwischen I._____ und BB._____ habe keine formalisierte Beziehung bestanden. Es sei die Absicht gewesen, nach Vertragszuschlag eine gemeinsame Gesellschaft zur Projektabwicklung aufzuset- zen. Weder habe die I._____ vor Vertragsschluss von anderen Gesellschaften Vollmachten erhalten noch habe die I._____ solche anderen Gesellschaften er- teilt. Die I._____ habe aufgrund ihres Know-hows sowohl die technische Evaluie-</w:t>
      </w:r>
    </w:p>
    <w:p>
      <w:r>
        <w:t>- 29 - rung und Entwicklung, den Businessplan und den Finanzplan als auch den Ver- tragsentwurf selbst ausgearbeitet. Die I._____ habe für diese Arbeiten bis heute weder eine Entschädigung verlangt noch jemandem erlaubt, in diesem Zusam- menhang eine Entschädigung zu verlangen (act. 20 Rz 32). Zu keinem Zeitpunkt habe ein Anspruch der Beklagten auf Kompensation gegenüber der Klägerin, der E._____ oder einer Konzerngesellschaft der AA._____ bestanden (act. 20 Rz 35). Es sei keine rechtsgültige Zession an die Beklagte durch das angebliche Konsor- tium erfolgt (act. 20 Rz 36). Die Honorarforderung sei nicht substantiiert. Wenn schon, dann sei wohl von einem Werkvertrag auszugehen und die F._____, nicht die Klägerin, für diese Aufwände entschädigungspflichtig. Der guten Ordnung hal- ber sei festzuhalten, dass eine marktübliche Kompensation keineswegs EUR 200'000.– betrage (act. 20 Rz 37). Die ins Recht gelegte Zession komme plump daher und werde bestritten. Der angebliche Konsortialpartner I._____ habe der Beklagten nicht erlaubt, Ansprüche für sie geltend zu machen. Aufgrund der Inhalte der Website könne nicht davon ausgegangen werden, dass unter AA._____ ohne weiteres die Klägerin zu verstehen sei. So sei D._____ weder Angestellter noch Organ der Klägerin. Es sei Sache der Beklagten, das Rechts- verhältnis der relevanten Konzerngesellschaft zuzurechnen. Die Passivlegitimati- on bestehe daher für die Verrechnungsforderungen nicht (act. 20 Rz 39-40). 5.1.3. In der Duplik ergänzt die Beklagte, mit der E-Mail vom 5. Juni 2011 (act. 27/52) sei belegt, dass die AA._____, handelnd durch ihren Prinzipal D._____ sowie ihren beauftragten Owners Engineer M._____, dem EPC Contrac- tor, also dem Konsortium BB._____-I._____, den Auftrag erteilt habe, einen Busi- nessplan zu erstellen - und zwar so bald wie möglich. Aus diesem Grund habe D._____ H._____ am 28. Juni 2011 zwei Dateien von früher einmal erstellten Feasibility Studies / Businessplänen zugestellt. Weiter habe sein Vertreter N._____ am 5. Juli 2011 direkt an L._____ von I._____ Angaben und Informatio- nen für den Businessplan gesandt (act. 26 Rz 8-11). Danach habe das Treffen in Rom stattgefunden. Im Protokoll dieser Besprechung sei abermals klar festgehal- ten worden, dass J._____/I._____, wobei BB._____-I._____ gemeint gewesen sei, einen Businessplan entwickeln sollte und dass M._____ dafür nötige Informa- tionen liefern würde. Die Beklagte verweist auf diverse E-Mails und hält schliess-</w:t>
      </w:r>
    </w:p>
    <w:p>
      <w:r>
        <w:t>- 30 - lich fest, am 19. September 2011 sei der Businessplan in einer ersten Fassung D._____ vorgelegt worden. Darin sei klar und deutlich das beauftragte Konsortium BB._____-I._____ als Autor vermerkt. Es sei eine Besprechung des Entwurfs er- folgt, die Bereinigung diverser Differenzen und ein weiterer Entwurf vom 7. Oktober 2011 des Konsortiums B._____-I._____ als Autor, bis schliesslich am 12. Oktober 2011 das Endprodukt abgeliefert worden sei (act. 26 Rz 12-21). Mit dem Gesagten sei zweifelsfrei erstellt, dass die AA._____ - vertreten durch ihren Prinzipal D._____ und ihren beauftragen Owners Engineer M._____, handelnd durch N._____ - dem Konsortium BB._____-I._____ - welches später diesbezüg- lich im Einvernehmen aller Beteiligten durch das Konsortium B._____-I._____ ab- gelöst worden sei - schon anfangs Juni 2011 den Auftrag erteilt habe, ihr einen Businessplan für ihr Raffinerieprojekt zu erstellen. Dieser Auftrag sei erfüllt wor- den, vollständig und einwandfrei (act. 26 Rz 22). Der Auftrag sei hochkomplex und aufwändig gewesen und dessen Besorgung habe klarerweise nur entgeltlich erwartet werden können. Es sei das übliche Honorar geschuldet. Im Mindesten müssten alle entstandenen Aufwendungen und Auslagen ersetzt werden. Diese hätten sich bei der Beklagten allein schon auf EUR 135'000.– belaufen (act. 26 Rz 23-30). So hätten H._____ 436 Arbeitsstunden zum Stundensatz von EUR 200.– und V._____ 183 Arbeitsstunden zum Stundensatz von EUR 130.– für die Beklagte aufgewendet. Zudem habe die Beklagte grössere Auslagen für Rei- sen und auswärtige Übernachtungen im Umfang von EUR 16'940.58 gehabt. Wei- tere Aufwendungen der J._____ und der I._____ würden jeweils EUR 200'000.– übersteigen (act. 26 Rz 38-40). Die Beklagte sei aktivlegitimiert, weil ihr alle An- sprüche der Konsortien BB._____-I._____ und B._____-I._____ zediert worden seien (act. 26 Rz 32). Passivlegitimiert sei die Auftraggeberin, die AA._____. Da- runter sei die Klägerin zu verstehen. Dies anerkenne diese in der Replik selbst, wo sie sich diverses Verhalten selber zurechne. Falls das Verhalten von D._____ der E._____ zuzurechnen sei, könne der Klägerin trotzdem Verrechnung entge- gen gehalten werden, da sich doch die durch eine Einrede belastete Forderung durch Zession nicht abschütteln lasse (act. 26 Rz 33). Aus dem Letter of Intent (act. 14/27 und 14/28), der Offerte vom 28. August 2011 (act. 14/34) und dem Bu- siness Plan Questionnaire vom 29. August 2011 (act. 14/37) ergebe sich, dass</w:t>
      </w:r>
    </w:p>
    <w:p>
      <w:r>
        <w:t>- 31 - der Klägerin stets das Konsortium BB._____-I._____ gegenüber getreten sei. Auch die Vertretungsbefugnis von H._____ sei festgehalten worden. Gleiches gel- te für das Konsortium B._____-I._____. Dieses habe im Einverständnis aller Be- teiligten den seinerzeit dem Konsortium BB._____-I._____ erteilten Auftrag zur Erstellung des Businessplans zu Ende geführt (act. 26 Rz 47-49). Die einzigen, die umfangreiche Arbeiten erbracht hätten, seien die Konsortien gewesen, und zwar für die Klägerin. Diese habe sich den Deal sichern wollen. Von einer Sub- mission könne nicht ernsthaft die Rede sein. Die Beklagte macht sinngemäss gel- tend, es habe keine anderen Bewerber gehabt. Die Klägerin sei als Verhand- lungspartnerin aufgetreten. Dies belegten die Akten und die Website von F._____. Auf Anweisung der Klägerin seien der LOI und die Offerte an F._____ adressiert worden (act. 26 Rz 66). Im Weiteren wiederholt die Beklagte ihre Argumente (act. 26 Rz 67-73). Die Passivlegitimation der Klägerin sei gegeben. D._____ ha- be nachweislich für die AA._____ und ihre Konzerngesellschaften als (wenn nicht überall formelles, so doch allemal überall faktisches) Organ gehandelt. Die Unter- lassung, Transparenz über sein Firmengeflecht zu schaffen, gereiche ihm in die- sem Kontext zu keinerlei Vorteil und ebenso wenig komme er durch die Zession der Klageforderung an eine andere Gesellschaft, bei welcher er nicht formelles Organ sei, davon. Bei der zedierenden Gesellschaft habe D._____ sogar formelle Organstellung inne (act. 26 Rz 74). 5.2. Anwendbares Recht 5.2.1. Eine Rechtswahl besteht nicht, weshalb allfällige Ansprüche objektiv anzu- knüpfen sind (Art. 117 Abs. 1 IPRG; vgl. zu den kollisionsrechtlichen Bestimmun- gen des IPRG bereits oben Ziff. 3.2). In Frage steht gemäss beklagtischer Be- hauptung ein Auftrag. Die Klägerin geht dagegen - sollte überhaupt ein Vertrag zustande gekommen sein, was sie bestreitet - von einem Werkvertrag aus. Eine genaue Zuordnung kann bis auf weiteres unterbleiben, denn unabhängig von die- ser ist die geltend gemachte Erstellung eines Businessplans als charakteristische Leistung der Beklagten bzw. der von ihr behaupteten Konsortien zu sehen (Art. 117 Abs. 3 lit. c IPRG). Die Lokalisierung der charakteristischen Leistung bie- tet nun aber gewisse Schwierigkeiten. Während die BB._____ ihren Sitz in</w:t>
      </w:r>
    </w:p>
    <w:p>
      <w:r>
        <w:t>- 32 - Deutschland hat und die I._____ in Italien domiziliert ist (vgl. act. 14/4 und 14/5), wurde für die genannten Konsortien weder dargelegt, nach welchem Recht sie organisiert wurden noch wo sich ihr Sitz, ihre Niederlassung oder deren tatsächli- che Verwaltung befindet. Letztere ist indes in der Schweiz zu sehen, war doch H._____ gemäss beklagtischer Behauptung Vertreter und Verhandlungsführer der Konsortien und unstreitig in Zürich zu erreichen (vgl. act. 3/7; act. 3/9a S. 19). 5.2.2. Allfällige vertragliche Ansprüche der Beklagten im Rahmen der Erstellung eines Businessplans unterstehen daher Schweizer Recht. Davon scheinen auch die Parteien auszugehen. 5.3. Würdigung der beklagtischen Behauptungen 5.3.1. Es fehlt an einer schlüssigen Argumentation in Bezug auf die Passivlegiti- mation der Klägerin zur Verrechnung der Honorarforderung. Mit der pauschalen Behauptung, es sei durch die Parteien nie definiert worden, welche der zahlrei- chen juristischen Personen der AA._____ als Auftraggeberin agiert habe, kommt die Beklagte ihrer Substantiierungspflicht jedenfalls nicht genügend nach, was auch von der Klägerin zu Recht moniert worden ist. Die saloppen und ohne nähe- re Begründung aufgestellten Behauptungen, die AA._____ sei ein undurchsichti- ges Geflecht von Gesellschaften, D._____ habe es unterlassen, Transparenz über sein Firmengeflecht zu verschaffen, was ihm zu keinem Vorteil gereiche, und die Website der AA._____ werde von der Klägerin betrieben, weshalb unter AA._____ die Klägerin zu verstehen sei, helfen der Beklagten in diesem Zusam- menhang nicht weiter. Es fehlt durchwegs an einer klaren Zuordnung der mass- geblichen Willenserklärungen. In Bezug auf den Prinzipal D._____, dem die Be- klagte wesentliche Handlungen zuschreibt, fehlt es an der Erklärung, warum D._____ im Rahmen seiner Handlungen ausgerechnet für die Klägerin oder die E._____ gehandelt haben und weshalb er faktisches Organ der Klägerin sein soll. In diesem Zusammenhang ist schliesslich festzustellen, dass die zeichnungsbe- rechtigten Organe der Klägerin (X2._____ und G._____; act. 3/2) in der Argumen- tation der Beklagten kaum Eingang finden. G._____ wird lediglich im Zusammen- hang mit einer Mail erwähnt, die er indes im Namen der AA._____ verfasst haben</w:t>
      </w:r>
    </w:p>
    <w:p>
      <w:r>
        <w:t>- 33 - soll (act. 26 Rz 17), womit wohl eher seine Rolle als General Counsel der AA._____ gemeint ist. 5.3.2. Auf der Aktivseite verpasst es die Beklagte, die behaupteten Konsortien ei- nem beweisfähigen Sachverhalt zuzuführen. So legt sie, obwohl die Klägerin die Existenz der Konsortien und die Vertretungsbefugnis von H._____ in Abrede stellt, in keiner Weise dar, wie diese Konsortien entstanden sein sollen und wer sie zu welchem Zeitpunkt wie gegründet haben soll. Sie wiederholt lediglich die Behauptung, dass es diese Konsortien gebe. 5.3.3. Im Weiteren legt die Beklagte in keiner Weise dar, dass ihre geltend ge- machte Verrechnungsforderung gegenüber der E._____ vor deren (auf die Kläge- rin zedierte und von der Beklagten bestrittene) Forderung fällig geworden sei (vgl. dazu Art. 169 Abs. 2 OR). 5.3.4. Schliesslich fehlt es in Bezug auf die Höhe des geltend gemachten Hono- rars an der Darlegung, warum Investitionen im Hinblick auf den Gewinn bzw. Zu- schlag des EPC-Vertrags als Auftragshonorar vergütet werden sollten. Auch ist die Behauptung, es sei das marktübliche Honorar geschuldet, unter dem Hinweis, dieses betrage für eine Leistung wie einen Businessplan mindestens EUR 200'000.–, nicht genügend substantiiert. Auf der Grundlage dieser Behaup- tung lassen sich keine Beweissätze formulieren und es kann kein Gutachten er- bracht werden, wie dies von der Beklagten verlangt wird. Eine Partei kann sich denn auch nicht mit allgemeinen Behauptungen begnügen, in der Meinung, die Begründung ihres Standpunkts werde sich aus dem Beweisverfahren ergeben. Immerhin bringt die Beklagte im Rahmen der Duplik vor, H._____ habe 436 Ar- beitsstunden zum Stundenansatz von EUR 200.– und V._____ 183 Arbeitsstun- den zum Stundenansatz von EUR 130.– für die Beklagte aufgewendet. Allerdings legt sie weder dar, dass die Parteien diese Beträge tatsächlich vereinbart hätten oder warum die genannten Stundenansätze üblich sein sollten, noch wer wann was genau im Einzelnen tatsächlich gemacht hat. Unsubstantiiert sind ferner wie- der die im Namen der J._____ und der I._____ jeweils geltend gemachten EUR 200'000.–.</w:t>
      </w:r>
    </w:p>
    <w:p>
      <w:r>
        <w:t>- 34 - 5.3.5. Zusammenfassend ist festzuhalten, dass die Beklagte den Anforderungen an ihre Behauptungs- und Substantiierungslast nicht genügend nachgekommen ist. Die zur Verrechnung gebrachte Honorarforderung lässt sich weder prüfen noch der Klägerin auf der Passivseite zuordnen. Die Verrechnungsforderung ist daher nicht ausgewiesen. 6. Schadenersatzforderung aus culpa in contrahendo 6.1. Parteibehauptungen 6.1.1. Die Beklagte bringt eine Schadenersatzforderung aus culpa in contrahendo zur Verrechnung. Sie macht geltend, die AA._____ habe der F._____ im Rahmen der Verhandlungen zum Abschluss eines EPC-Vertrags für das Raffinerieprojekt geholfen (act. 13 Rz 16-17). Die AA._____ sei mit den Konsortien BB._____- I._____ bzw. B._____-I._____ im Mai 2011 in Verhandlungen über einen EPC- Vertrag getreten (act. 13 Rz 83). An einem Treffen in Offenbach habe sich das Konsortium BB._____-I._____ vorgestellt. Anlässlich eines Treffens am 22. Juni 2011 habe D._____ gesagt: "Ihr seid unser Team, Ihr macht das, legt los". Die Frage, ob die Projektfinanzierung gesichert sei, habe D._____ bejaht (act. 13 Rz 41-42). Die Beteiligten hätten fortan monatelang mit Wissen und Willen der AA._____ intensiv gearbeitet. Namentlich hätten sie mit der AA._____, aber auch unter sich, unzählige Besprechungen und Treffen veranstaltet, fast täglich telefo- niert und gemailt sowie umfangreiche technische und administrative Arbeiten ausgeführt, wie u.a. die Ausarbeitung des EPC-Vertragsentwurfs mit einem Um- fang von über 130 Seiten (act. 13 Rz 83). Am 14. Juli 2011 habe D._____ ge- schrieben, er habe N._____ eine klare Dateline per 30. Juli 2011 für den EPC- Vertrag gegeben (act. 13 Rz 47). Da Ende Juli kein Vertrag unterzeichnet gewe- sen sei, hätten die Vertragspartner auf dem bereits erwähnten LOI bestanden (act. 13 Rz 48 ff.). Absprachegemäss sollte der EPC-Vertrag dann bis zum 12. September 2011 finalisiert werden (act. 13 Rz 51). Daraufhin habe D._____ in einer Mail vom 14. September 2011 versprochen, der EPC-Vertrag werde bis am</w:t>
      </w:r>
    </w:p>
    <w:p>
      <w:r>
        <w:rPr>
          <w:b/>
        </w:rPr>
        <w:t>E. 22</w:t>
      </w:r>
    </w:p>
    <w:p>
      <w:r>
        <w:t>September 2011 finalisiert (act. 13 Rz 56). Am 25. August 2011 habe das Konsortium BB._____-I._____ die Offerte unterbreitet (act. 13 Rz 62). Eine form- gerechte Stellungnahme zu dieser Offerte sei ausgeblieben. In der Zwischenzeit</w:t>
      </w:r>
    </w:p>
    <w:p>
      <w:r>
        <w:t>- 35 - habe die AA._____ die Konsortien unentwegt mit Hochdruck an der Ausarbeitung des EPC-Vertrags und des Businessplans für ihr Projekt arbeiten lassen (act. 13 Rz 63 ff.). Letztlich sei es nicht mehr zum Abschluss des EPC-Vertrages gekom- men. Dieser habe nach dem 21. September 2011 gar nicht mehr geschlossen werden können, selbst wenn die AA._____ dies gewollt habe. Die Beklagte habe grösste Zweifel, ob überhaupt nur schon ein ernsthafter Wille der AA._____ be- standen habe, diesen Vertrag, um den sie sich mit ihren Konsortialpartnern so in- tensiv bemüht habe, auch tatsächlich mit ihr abzuschliessen. Von der SEBI Order hätten die Konsortialpartner erst nachträglich erfahren. Die AA._____ habe sie nie über diese Order und dessen Auswirkungen für den EPC-Vertrag informiert. Sie habe sie vielmehr bis zur "Notice of Rejection" unentwegt weiterarbeiten lassen, wie wenn nichts wäre. Schliesslich habe sie vorgeschoben, dass sie ihr Angebot "not acceptable" fände und habe mit den Konsortialpartner nichts mehr zu tun ha- ben wollen (act. 13 Rz 68, 84-88). Wie die Beklagte im Nachhinein habe erfahren müssen, habe die AA._____ nicht erst nach diesem SEBI Order, sondern schon vorher gar nie die nötige Bewilligung des indischen Cabinet Committees on Eco- nomic Affairs (CCEA) für die für ihr Projekt erforderliche Ausgabe von GDR durch F._____ besessen (act. 13 Rz 89). Auch darüber habe die AA._____ ihre Ver- handlungspartner nie aufgeklärt. Zudem habe F._____ im Jahr 2011 auch noch die Raffinerie S._____ verloren. Ob diese Raffinerie zur Verfügung stehen würde, sei somit seit jeher in den Sternen gestanden. Als die AA._____ über den EPC- Vertrag verhandelt habe, sei die Raffinerie nicht mehr zur Verfügung gestanden. Auch darüber habe die AA._____ ihre Vertragspartner nie aufgeklärt. Um die fi- nanzielle Lage der F._____ sei es katastrophal bestellt. Über nichts von alledem habe die AA._____ aufgeklärt. Im Gegenteil habe sie immerzu versprochen, den Vertrag demnächst zu schliessen, obwohl sie hiezu zu keiner Zeit im Stand gewe- sen sei (act. 13 Rz 90-94). Ein solches Verhalten sei krass treuwidrig. Den Kon- sortien BB._____-I._____ und B._____-I._____ seien alle Aufwendungen und Auslagen zu ersetzen, welche sie für diese Vertragsverhandlungen getätigt hät- ten. Diese Forderungen seien mit Zession der Beklagten abgetreten worden. Die Forderungen seien gegen die AA._____ gerichtet, sei es doch diese, welche die Verhandlungen in derart treuwidriger Weise geführt habe. Welche der zahlreichen</w:t>
      </w:r>
    </w:p>
    <w:p>
      <w:r>
        <w:t>- 36 - juristischen Personen dies genau sei, hätten die Parteien nie definiert. Gemäss eigener Website sei unter AA._____ die Klägerin zu verstehen. Darauf sei sie zu behaften (act. 13 Rz 95-99, 80). Die Beklagte habe EUR 15'000.– für Reisen und auswärtige Übernachtungen ausgegeben und rund 700 Stunden Arbeit investiert. Letztere ergäben einen Gesamtbetrag von EUR 120'000.–. Damit habe die Be- klagte allein einen Schaden von mindestens EUR 135'000.– zu beklagen, den sie zur Verrechnung bringe (act. 13 Rz 100-101). 6.1.2. Die Klägerin entgegnet, sie sei stets bemüht gewesen, schnell einen geeig- neten Partner für das Projekt zu finden. Sie haben niemanden hingehalten. Das Projekt sei nach wie vor nicht stillgelegt, sondern werde von der Klägerin und der E._____ aktiv vorangetrieben. Der Wille zu ernsthaftem Verhandeln sei bei der Klägerin jederzeit vorhanden gewesen. Das Projekt sei von der Frage der weite- ren Finanzierung abhängig gewesen. Gerade diese habe ja die Beklagte im Auf- trag der Klägerin bzw. der E._____ beschaffen sollen. Die Verhandlungsführer der Klägerin bzw. der E._____ hätten zu keinem Zeitpunkt das Finalisieren des Ver- trags hinausgeschoben. Vertragsverhandlungen benötigten bei so grossen Pro- jekten nun mal viel Zeit, zumal sich das Projekt in Indien befinde. Dass die Be- klagte mangels Erfahrung das Verhandlungsumfeld in Indien verkenne und von einem raschen Vertragsabschluss ausgegangen sei, könne nicht dem Verhalten der Klägerin angelastet werden. Die Offerte habe zuerst geprüft werden müssen. Die Ablehnung sei aus rein wirtschaftlichen Gründen erfolgt (act. 20 Rz 43-44). Der Erlass der SEBI Order sei gleichentags auf der Homepage von F._____ auf- geschaltet worden. Ohne grossen Aufwand hätte die Beklagte sich darüber infor- mieren können. Sie wurde denn auch von der AA._____ darüber informiert. Im Übrigen sei die Order gegen F._____ gerichtet und habe weder das Raffineriepro- jekt noch die Klägerin betroffen. Die einzige Wirkung für den EPC-Vertrag habe eine zeitliche Verzögerung sein können. Darum habe sich weder die Klägerin noch die E._____ veranlasst gesehen, die Gespräche mit der Beklagten zu been- den. Die Klägerin selbst habe am 27. September 2011, nach Erlass der Order, immer noch ihren Willen bekundet, das Projekt zu finanzieren. Davon habe die Beklagte gewusst. So habe doch H._____ den Auftrag erhalten, diese Finanzie- rung zu beschaffen (act. 20 Rz 45). Die Mitteilung von D._____ vom 15. Septem-</w:t>
      </w:r>
    </w:p>
    <w:p>
      <w:r>
        <w:t>- 37 - ber 2011 - und somit vor dem Erlass der SEBI Order - habe sich zum einen auf die Mitteilung von F._____ vom 7. Juni 2011 betreffend den Genehmigungspro- zess des indischen Foreign Investment Promotion Board (FIBP) und zum anderen auf die Mitteilung seitens F._____ vom 7. September 2011 betreffend die notwen- dige Genehmigung durch das Cabinet Committee of Economic Affairs (CCEA) bezogen. Die Mitteilungen der FIBP und der CCEA seien nach der Veröffentli- chung der von der Beklagten als Beweisofferten angeführten Artikel von StockEx- plain ergangen. Die Behauptungen der Beklagten, die Klägerin hätte gar nie über die entsprechenden Bewilligungen verfügt, seien also falsch. Zur Zeit der E-Mail von D._____ seien die für das Gesamtprojekt notwendigen Bewilligungen vorhan- den gewesen, sodass die Mitteilung in der E-Mail berechtigt gewesen sei. Insbe- sondere habe D._____ nicht wissen können, dass kurze Zeit später eine SEBI Order ergehen würde (act. 20 Rz 46). Von einem "Verlieren" könne keine Rede sein. Richtig sei, dass die Raffinerie S._____ nicht mehr Bestandteil des aktuellen Raffinerieprojektes sei. Die Gründe hierfür lägen ausserhalb des Einflussbereichs der Klägerin bzw. der E._____. Entscheidend sei, dass dies das Raffinerieprojekt nicht verhindert habe. Das angestrebte Projekt habe vorgesehen, aus alten Raffi- nerien eine neue zu erstellen, jedoch erst, nachdem diese grundsätzlich revidiert und technisch aufgerüstet worden seien. Anders, als von der Beklagten indirekt geäussert, hätten die alten Raffinerien nicht als "neue" Raffinerie dargestellt wer- den sollen, sondern eben als revidierte und modernisierte. Am Projekt werde nach wie vor gearbeitet, denn die S._____ Raffinerie stelle in keinster Weise einen "fes- ten Projektbestandteil" dar, wie irrtümlich von der Beklagten angenommen werde (act. 20 Rz 47). Die Klägerin bzw. die E._____ habe stets gewissenhaft gehandelt und sich nichts zu Schulden kommen lassen. Die Haftung aus culpa in contra- hendo, für dessen Bejahung das Bundesgericht sehr hohe Hürden setze, scheite- re schon am Vorliegen der "rechtlichen Sonderverbindung" zwischen den Partei- en. Gemäss Bundesgericht entstehe eine derartige Sonderverbindung aus be- wusstem oder normativ zurechenbarem Verhalten der in Anspruch genommenen Person. Ein zufälliges und ungewolltes Zusammenprallen, wie es im Regelfall ei- ner auf Fahrlässigkeit gründenden Deliktshaftung eigen sei, schaffe dagegen kei- ne derartige Sonderverbindung. Die Beklagte suche mit allen Mitteln die Flucht in</w:t>
      </w:r>
    </w:p>
    <w:p>
      <w:r>
        <w:t>- 38 - den Vertrag (Auftrag) oder zumindest in eine vertragsähnliche Haftungsfigur (cul- pa in contrahendo). Der Beweis für den Bestand solcher vertraglicher oder quasi- vertraglicher Verbindungen bleibe sie jedoch schuldig (act. 20 Rz 48). Die Konsor- tien BB._____-I._____ und B._____-I._____ habe es nie gegeben und gebe es nicht. Die Beklagte habe diese schlichtweg erfunden. Da keine Haftung aus culpa in contrahendo bestehe, könne für die Aufwendungen im Zusammenhang mit den Vertragsverhandlungen auch kein Anspruch geltend gemacht werden. Der Ver- rechnung werde hiermit ausdrücklich widersprochen, da, selbst wenn die Ver- rechnungsforderungen bestehen würden, was nicht der Fall sei, die gesetzlichen Voraussetzungen nicht gegeben seien. Insbesondere mangele es an der Identität der Gegenparteien (act. 20 Rz 49-53). 6.1.3. In der Duplik ergänzt die Beklagte, die AA._____ habe die Verhandlungen über den EPC-Vertrag krass treuwidrig geführt, indem sie ihre Verhandlungs- partner gleich über vier ganz zentrale Umstände nie aufgeklärt habe, nämlich dass: (1) die für die Umsetzung der Gesamttransaktion nötige Bewilligung des CCEA nie vorgelegen habe; (2) die Raffinerie S._____ überhaupt nie zur Verfügung gestanden sei; (3) am 21. September 2011 ein Befehl der Börsenaufsicht ergangen sei, wel- cher der Gesamttransaktion und damit auch dem EPC-Vertrag faktisch den endgültigen Todesstoss versetzt habe; (4) die Klägerin zu keiner Zeit auch nur ansatzweise über die nötigen finanzi- ellen Mittel für den EPC-Vertrag verfügt habe (act. 26 Rz 34). Statt ihre Gegenüber über diese Umstände aufzuklären, habe sie diesen von An- fang an immer nur zeitnahe Termine für Abschluss und Unterzeichnung des EPC- Vertrags in Aussicht gestellt und diese dann immer wieder verschoben. Sie habe sie sogar nachweislich brandschwarz angelogen, indem sie ihnen wahrheitswidrig angegeben habe, ihre Projektfinanzierung sei gesichert und sie verfüge über sämtliche für diese Transaktion notwendigen Bewilligungen und sie verfüge über</w:t>
      </w:r>
    </w:p>
    <w:p>
      <w:r>
        <w:t>- 39 - die Raffinerie S._____. Die Schwelle, nach welcher ein berechtigtes Vertrauen in den Abschluss des Vertrags habe bestehen dürfen, sei spätestens am 9.07.2011 überschritten gewesen, als dies sogar die AA._____ selber klar und deutlich zu verstehen gegeben habe (act. 26 Rz 35-37). Im Einzelnen hätten H._____ 436 Arbeitsstunden zum Stundensatz von EUR 200.– und V._____ 183 Arbeitsstun- den zum Stundensatz von EUR 130.– für die Beklagte aufgewendet. Zudem habe die Beklagte grössere Auslagen für Reisen und auswärtige Übernachtungen im Umfang von EUR 16'940.58 gehabt. Weitere Aufwendungen der J._____-Gruppe und der I._____ hätten jeweils EUR 200'000.– überstiegen (act. 26 Rz 38-40). Die AA._____ sei nie in der Lage gewesen, das Projekt umzusetzen, weshalb sie im- mer wieder auf Zeit gespielt und ihre Gegenüber hingehalten und beschwichtigt habe, so dass diese fleissig für sie weitergearbeitet hätten. Ihr Projekt sei heute faktisch tot. Ihr Versuch, der Beklagten die Schuld zuzuweisen, sei denkbar plump und leicht enttarnt: mit "issuance of equity" sei offensichtlich die Ausgabe der ominösen GDR gemeint, nicht eine Zwischenfinanzierung, über die mit der Be- klagten verhandelt worden sei. Diese Ausreden der Klägerin würden also bereits im Ansatz fehl gehen, abgesehen davon, dass die Beklagte allen Grund gehabt habe, sich auf eine Zwischenfinanzierung nicht einzulassen, nachdem sie habe erkennen müssen, wie faul die Geschäftsidee des Herrn D._____ tatsächlich ge- wesen sei. Das Zeitspiel und das ständige Verschieben des Abschlusstermins sei durch die Akten dokumentiert. Die Beklagte habe keine Erfahrung mit Indien ge- braucht, sie habe mit der AA._____ verhandelt. Ihre Erwartungen eines Vertrags- abschlusses habe allein diese geweckt. Für eine Prüfung einer Offerte brauche es keine drei Monate. Schon gar nicht, wenn nur mit einem einzigen Anbieter ver- handelt werde. Die Absage sei offenkundig allein Folge des endgültigen Todes des Projekts durch die SEBI Order gewesen und habe mit der Beklagten und ih- ren Konsortialpartnern nichts zu tun gehabt. Die Beklagte bestreitet, dass der Er- lass der SEBI Order gleichentags auf der Webseite von F._____ aufgeschaltet worden sei und die AA._____ die Beklagte je über diese SEBI Order informiert habe. Es habe keine Pflicht der Beklagten bestanden, sich diesbezüglich selber zu informieren. Im Gegenteil seien ihre Verhandlungspartner nach Treu und Glauben zur Aufklärung verpflichtet gewesen, umso mehr, als allein sie die Ein-</w:t>
      </w:r>
    </w:p>
    <w:p>
      <w:r>
        <w:t>- 40 - zelheiten des Gesamtgeschäfts gekannt und den Draht nach Indien geführt habe. Dass die Beklagte sich auch noch am 27.09.2011 weiterhin bemüht habe, der AA._____ eine Finanzierung für ihr Projekt zu organisieren, sei der beste Beweis dafür, wie die AA._____ diese arglistig in ihrer Ahnungslosigkeit belassen habe. Das CCEA habe die notwendige Bewilligung nie erteilt und die Aussage von D._____ in seiner E-Mail vom 15.09.2011 sei unwahr und somit nachweislich wi- der besseres Wissen erfolgt. Ob die Raffinerie S._____ verloren gegangen oder womöglich sogar absichtlich aus der Hand gegeben worden sei, sei irrelevant. Tatsache sei, dass sie längst nicht mehr vorhanden gewesen sei, als über den EPC-Vertrag verhandelt worden sei, obwohl auf ihr das gesamte Projekt aufge- baut habe. So seien sämtliche Arbeitsunterlagen davon ausgegangen, dass die S._____ zur Verfügung stehe (vom LOI über die Offerte, den EPC- Vertragsentwurf, das Business Plan Questionnaire bis hin zu den definitiven Busi- nessplänen vom 12. Oktober 2011). Wäre diesbezüglich je eine Aufklärung durch die AA._____ erfolgt, wäre diese mit Sicherheit nicht bis zum Schluss in all diesen Arbeitsunterlagen der Konsortien fester Bestandteil geblieben. Bestritten werde die gänzlich unsubstantiierten und unbewiesenen Behauptungen, dass das Pro- jekt auch ohne diese Raffinerie hätte umgesetzt werden können, und dass an die- sem weiter gearbeitet werde. Auch dafür bleibe die Klägerin jeden Beweis schul- dig (act. 26 Rz 75-83). 6.2. Anwendbares Recht 6.2.1. Das IPRG enthält für Ansprüche aus culpa in contrahendo (c.i.c.) keine ausdrückliche Regelung. Steht wie vorliegend die Verletzung von Aufklärungs- pflichten im Vordergrund, ist der Anspruch aus c.i.c. akzessorisch an das (hypo- thetische) Vertragsstatut anzuknüpfen (SCHNYDER/LIATOWITSCH, a.a.O., Rz 843; ausführlich: KREN KOSTKIEWICZ, Vertrauenshaftung im schweizerischen IPR, in: ZBJV 2001 161, S. 176 ff.). Anknüpfungspunkt bildete demnach der EPC-Vertrag, über den zwischen den verschiedenen Beteiligten verhandelt wurde. Dem Entwurf des EPC-Vertrags lässt sich noch keine Rechtswahl entnehmen (act. 14/33 Art. B.24). Bei objektiver Anknüpfung ist die charakteristische Leistung auf Seiten</w:t>
      </w:r>
    </w:p>
    <w:p>
      <w:r>
        <w:t>- 41 - der Konsortien zu sehen. Diese sind obigen Ausführungen folgend in der Schweiz zu lokalisieren (vgl. oben Ziff. 4.2). 6.2.2. Allfällige Schadenersatzansprüche aus culpa in contrahendo unterstehen daher Schweizer Recht. Davon scheinen auch die Parteien auszugehen. 6.3. Begriff und Voraussetzungen der Haftung aus c.i.c. 6.3.1. Die Haftung aus culpa in contrahendo beruht auf dem Gedanken, dass die Parteien von Beginn der im Hinblick auf einen Vertragsschluss geführten Ver- handlungen an gemäss den Regeln der guten Treue zur Beobachtung gewisser Pflichten gehalten sind, deren schuldhafte Verletzung sie zum Ersatz des dadurch verursachten Schadens verpflichtet (BGE 77 II 135 E. 2a = Praxis 1951 Nr. 122). Eine Haftung aus culpa in contrahendo ist zu bejahen, wenn folgende sechs Vo- raussetzungen erfüllt sind (HUGUENIN, Obligationenrecht: Allgemeiner und Be- sonderer Teil, 2012, N 1534 ff.; vgl. auch SOMMER, Vertrauenshaftung, AJP 2006 1031 ff.): (1) Die Schädigerin und der Geschädigte verhandeln über einen (zukünfti- gen) Vertrag; (2) die Schädigerin begründet durch ihr Verhalten beim Geschädigten ein schutzwürdiges Vertrauen; (3) die Schädigerin verletzt dabei eine vorvertragliche Pflicht; (4) der Verhandlungspartner erleidet einen Schaden; (5) der Schaden ist die adäquat kausale Folge der Pflichtverletzung; (6) die Schädigerin trifft ein Verschulden, sofern die entsprechende Haf- tungsnorm ein solches verlangt. 6.3.2. Die Haftung aus c.i.c. greift nicht nur, wenn die Vertragsverhandlungen in einen Vertragsschluss münden, der sich in der Folge als ungültig i.S.v. Art. 20 ff. OR erweist, sondern auch, wenn die Verhandlungen scheitern und die Parteien den Vertrag gar nicht abschliessen (BGE 77 II 135 E. 2a = Praxis 1951 Nr. 122) 6.4. Würdigung der beklagtischen Behauptungen</w:t>
      </w:r>
    </w:p>
    <w:p>
      <w:r>
        <w:t>- 42 - 6.4.1. Vorab ist festzustellen, dass nebst den behaupteten Konsortien weder die Klägerin noch die AA._____ oder eine der Konzerngesellschaften, sondern die F._____ Partei des EPC-Vertrags werden sollte. Dies ergibt sich sowohl aus den übereinstimmenden Ausführungen der Parteien als auch aus dem Entwurf des EPC-Vertrags (act. 14/33), dem LOI (act. 14/27-28) und der Notice of Rejection (act. 14/47). Die AA._____ stand der F._____ lediglich - in einem wohl auftrags- ähnlichen Verhältnis - zur Seite und führte - u.a. in der Person von D._____ - die Verhandlungen mit den zukünftigen EPC-Contractors. Schon deshalb ist die Pas- sivlegitimation der Klägerin in Bezug auf die zur Verrechnung gebrachten Scha- denersatzansprüche zu verneinen. Allfällige Pflichtverletzungen im Rahmen der Vertragsverhandlungen sind auf der Grundlage der beklagtischen Behauptungen der F._____ zuzurechnen (Art. 101 OR). 6.4.2. Im Weiteren stehen gemäss beklagtischer Behauptung erneut einzig Hand- lungen der AA._____ im Vordergrund. So soll diese vorvertragliche Pflichten ver- letzt haben. Der Klägerin selbst schreibt die Beklagte indessen keine Pflichtverlet- zung zu. Aufs Deutlichste zeigt sich dies in der Duplik, wo die Beklagte unmiss- verständlich geltend macht, die AA._____ habe die Verhandlungen krass treuwid- rig geführt, indem sie ihre Aufklärungspflichten verletzt habe. Dabei trennt sie sel- ber die AA._____ klar von der Klägerin, deren ungenügende finanzielle Mittel sie als eine der Pflichtverletzungen der AA._____ zuschreibt (act. 26 Rz 34). Die Be- klagte macht schliesslich auch in diesem Zusammenhang pauschal geltend, die Parteien hätten nie definiert, welche der juristischen Personen der AA._____ ge- handelt habe und unter AA._____ sei aufgrund deren Homepage die Klägerin zu verstehen. Dieses Vorbringen erweist sich - worauf unter Ziff. 5.3.1 vorstehend bereits hingewiesen wurde - als ungenügend substantiiert. Damit fehlt es auch in Bezug auf die zur Verrechnung gebrachten Ansprüche aus culpa in contrahendo an rechtsgenügenden Behauptungen zur Passivlegitimation der Klägerin. 6.4.3. Unklar und nicht nachvollziehbar ist letztlich, warum die Beklagte trotz LOI - der von der F._____ als "non-binding" bezeichnet wurde und keine Konsequen- zen bei Nichtabschluss des EPC-Vertrags enthält - von einem sicheren Zuschlag ausgehen konnte und weshalb nun gleichwohl Ersatzansprüche bestehen sollten.</w:t>
      </w:r>
    </w:p>
    <w:p>
      <w:r>
        <w:t>- 43 - 6.4.4. Insgesamt ist daher die Verrechnungsforderung nicht ausgewiesen. 7. Zusammenfassung Die Klägerin obsiegt mit der Klage. Sie hat gegenüber der Beklagten einen Rück- forderungsanspruch in der Höhe von EUR 125'000.–. Die geltend gemachten Zin- sen sind ebenfalls ausgewiesen und zuzusprechen. Die dagegen ins Feld geführ- ten Verrechnungsforderungen der Beklagten entbehren dagegen einer rechtsge- nügenden Grundlage. Im Ergebnis ist die Beklagte zu verpflichten, der Klägerin den Betrag von EUR 125'000 nebst 5% Zins seit 30. November 2011 zu bezahlen. 8. Kosten- und Entschädigungsfolgen Der Streitwert wird durch das Rechtsbegehren bestimmt. Zinsen sind nicht hinzu- zurechnen (Art. 91 Abs. 1 ZPO). Wird auf Zahlung einer Geldsumme in ausländi- scher Währung geklagt, so ist die Forderung zwecks Bestimmung des Streitwerts auf das Datum der Begründung der Rechtshängigkeit in Schweizer Franken um- zurechnen (STEIN-WIGGER, in: Sutter-Somm [Hrsg.], a.a.O., Art. 91 N 22). Folglich beträgt der Streitwert vorliegend CHF 154'426.–. Ausgangsgemäss wird die Beklagte kosten- und entschädigungspflichtig (Art. 106 Abs. 1 Satz 1 ZPO). Die Höhe der Gerichtskosten bestimmt sich nach der Gebührenverordnung des Obergerichts (Art. 96 ZPO i.V.m. Art. 199 Abs. 1 GOG). Sie ist unter Berücksichti- gung der Durchführung einer Vergleichsverhandlung und einer Hauptverhandlung auf 4/3 oder gerundet CHF 15'000.– festzusetzen. Die Parteientschädigung wird nach den Tarifen gesprochen (Art. 105 Abs. 2 Satz 1 ZPO). Die Höhe bestimmt sich nach der Verordnung über die Anwaltsgebühren (Art. 96 ZPO i.V.m. § 48 Abs. 1 lit. c und Abs. 2 Anwaltsgesetz [SR 215.1]). Die Parteientschädigung ist vorliegend auf CHF 22'000.– festzusetzen.</w:t>
      </w:r>
    </w:p>
    <w:p>
      <w:r>
        <w:t>- 44 -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