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HG110192 vom 30. März 2012</w:t>
      </w:r>
    </w:p>
    <w:p>
      <w:r>
        <w:t>Zh Handelsgericht, 2012-03-30, DE</w:t>
      </w:r>
    </w:p>
    <w:p>
      <w:r>
        <w:rPr>
          <w:b/>
        </w:rPr>
        <w:t xml:space="preserve">Quelle: </w:t>
      </w:r>
      <w:r>
        <w:t>https://mcp.opencaselaw.ch/entscheid/zh_handelsgericht_HG110192</w:t>
      </w:r>
    </w:p>
    <w:p>
      <w:r>
        <w:t>FR: ZH_HANDELSGERICHT HG110192 du 30 mars 2012</w:t>
      </w:r>
    </w:p>
    <w:p>
      <w:r>
        <w:t>IT: ZH_HANDELSGERICHT HG110192 del 30 marzo 2012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Zuständigkeit</w:t>
      </w:r>
    </w:p>
    <w:p>
      <w:r>
        <w:rPr>
          <w:b/>
        </w:rPr>
        <w:t>E. 3.1</w:t>
      </w:r>
    </w:p>
    <w:p>
      <w:r>
        <w:t>Die örtliche Zuständigkeit ergibt sich aus Art. 31 ZPO.</w:t>
      </w:r>
    </w:p>
    <w:p>
      <w:r>
        <w:rPr>
          <w:b/>
        </w:rPr>
        <w:t>E. 3.2</w:t>
      </w:r>
    </w:p>
    <w:p>
      <w:r>
        <w:t>Für die sachliche Zuständigkeit stützt sich die Klägerin auf Art. 6 Abs. 3 ZPO, welcher der klagenden Partei ein Wahlrecht zwischen dem Handelsgericht und dem ordentlichen Gericht einräumt, wenn nur die beklagte Partei im Handels- register oder in einem vergleichbaren ausländischen Register eingetragen ist und die übrigen Voraussetzungen gemäss Art. 6 Abs. 2 lit. a und b ZPO erfüllt sind.</w:t>
      </w:r>
    </w:p>
    <w:p>
      <w:r>
        <w:rPr>
          <w:b/>
        </w:rPr>
        <w:t>E. 3.3</w:t>
      </w:r>
    </w:p>
    <w:p>
      <w:r>
        <w:t>Der Beklagte verneint die sachliche Zuständigkeit des Handelsgerichts, wo- bei er sich zur Begründung auf die namentlich von BRUNNER vertretene Lehrmei- nung beruft, der gemäss das Klägerwahlrecht von Art. 6 Abs. 3 ZPO auf Einzelun- ternehmen ohne Registereintrag sowie Personengemeinschaften im Gründungs- stadium von Handelsgesellschaften beschränkt ist (vgl. BRUNNER, in: Brun-</w:t>
      </w:r>
    </w:p>
    <w:p>
      <w:r>
        <w:t>- 4 - ner/Gasser/Schwander (Hrsg.), Kommentar zur Schweizerischen Zivilprozessord- nung, Zürich 2011 [zit. DIKE ZPO Kommentar], Art. 6 N 32 ff.; DERSELBE, Was ist Handelsrecht? Zur Frage der handelsrechtlichen Streitigkeit nach ZPO/BGG, in: AJP 2010 S. 1536 f. [zit. Handelsrecht]; VOCK, ZPO 6 – Die handelsrechtliche Streitigkeit, Referat anlässlich der Tagung zur Schweizerischen ZPO – Handels- gerichtliche Verfahren, veranstaltet von der Universität St. Gallen am 8. März 2011, S. 8). Nach richtiger Auslegung seien natürliche Personen in Privathaushal- ten in der wirtschaftlichen Funktion als Konsumenten vom Klägerwahlrecht aus- geschlossen. BRUNNER erwähne ausdrücklich auch den Fall eines privaten Bank- kunden, dem kein Klägerwahlrecht zustehe; nichts anderes könne für eine private Vermögensverwaltungskundin gelten. Da die Klägerin – zu Recht – nicht geltend mache, dass sich ihre Ansprüche aus ihrer geschäftlichen Tätigkeit ergäben, kön- ne die vorliegende Streitigkeit keine Zuständigkeit des Handelsgerichts begrün- den (act. 9 S. 3 ff.).</w:t>
      </w:r>
    </w:p>
    <w:p>
      <w:r>
        <w:rPr>
          <w:b/>
        </w:rPr>
        <w:t>E. 3.4</w:t>
      </w:r>
    </w:p>
    <w:p>
      <w:r>
        <w:t>Der Anwendungsbereich von Art. 6 Abs. 3 ZPO ist in der Lehre umstritten:</w:t>
      </w:r>
    </w:p>
    <w:p>
      <w:r>
        <w:rPr>
          <w:b/>
        </w:rPr>
        <w:t>E. 3.5</w:t>
      </w:r>
    </w:p>
    <w:p>
      <w:r>
        <w:t>Während ein Teil der Lehre von einem weiten Anwendungsbereich ausgeht, indem sie das Wahlrecht von Art. 6 Abs. 3 ZPO – vor allem aufgrund seines Wort- lauts und seines Bezugs zum alten kantonalen Prozessrecht – grundsätzlich auch Privatpersonen ohne Unternehmereigenschaft zugestehen will (MEIER, Schweize- risches Zivilprozessrecht, Zürich 2010, S. 61; SENEL, Das handelsgerichtliche Ver- fahren nach der neuen Schweizerischen Zivilprozessordnung, Diss. Basel 2010, N 280; DIGGELMANN, Vom GVG zum GOG, in: SJZ 106 (2010) S. 88; SCHWAL- LER/NAEGELI, Die Zuständigkeit der Handelsgerichte gemäss Art. 6 Abs. 3 ZPO, in: Jusletter 14. November 2011, S. 4), befürwortet ein anderer Teil der Lehre – wie erwähnt – eine Beschränkung auf Einzelunternehmen ohne Registereintrag sowie Personengemeinschaften im Gründungsstadium von Handelsgesellschaf- ten.</w:t>
      </w:r>
    </w:p>
    <w:p>
      <w:r>
        <w:rPr>
          <w:b/>
        </w:rPr>
        <w:t>E. 3.6</w:t>
      </w:r>
    </w:p>
    <w:p>
      <w:r>
        <w:t>Die Beschränkung des Anwendungsbereichs von Art. 6 Abs. 3 ZPO wird – vor allem – damit begründet, dass Art. 6 Abs. 3 ZPO auf die Erfüllung der übrigen Voraussetzungen verweise, weshalb auch die Möglichkeit der zivilrechtlichen Be- schwerde an das Bundesgericht gegeben sein müsse. Art. 75 Abs. 2 lit. b BGG</w:t>
      </w:r>
    </w:p>
    <w:p>
      <w:r>
        <w:t>- 5 - mache eine Ausnahme vom Doppelinstanzprinzip ausdrücklich nur für die "han- delsrechtlichen Streitigkeiten". Unbestreitbar sei aber das "Handelsrecht" jenes Rechtsgebiet, das sich materiell mit den Handelsgeschäften zwischen Unterneh- men befasse. Behandle somit ein Handelsgericht Sach- und Rechtsfragen, die nicht als handelsgerichtliche Streitigkeiten qualifiziert werden könnten, entfalle die Möglichkeit der zivilrechtlichen Beschwerde an das Bundesgericht gegen einen solchen Entscheid des Fachgerichts nach Art. 75 Abs. 2 lit. b BGG. Die sachliche Zuständigkeit von Handelsgerichten als Fachgerichten sei daher nur dann gege- ben, wenn eine Streitigkeit ausgetragen werde, die Tatbestände des materiellen Handelsrechts betreffe (DIKE ZPO Kommentar-BRUNNER, Art. 6 N 28 f.; DERSEL- BE, Handelsrecht, S. 11; DERSELBE, Das Doppelinstanzprinzip und seine scheinbar unbegrenzten Umgehungsmöglichkeiten nach Art. 6 Abs. 3 ZPO, in: SJZ 108 (2012) S. 27 [zit. Doppelinstanzprinzip]).</w:t>
      </w:r>
    </w:p>
    <w:p>
      <w:r>
        <w:rPr>
          <w:b/>
        </w:rPr>
        <w:t>E. 3.7</w:t>
      </w:r>
    </w:p>
    <w:p>
      <w:r>
        <w:t>Dem ist zu widersprechen: Zunächst bezieht sich der Verweis in Art. 6 Abs. 3 ZPO auf die "übrigen Voraussetzungen" nur auf diejenigen von Art. 6 Abs. 2 lit. a und b ZPO, nachdem Art. 6 Abs. 3 ZPO bezüglich der dritten Voraus- setzung – dem Eintrag beider Parteien im schweizerischen Handelsregister oder einem vergleichbaren ausländischen Register (Art. 6 Abs. 2 lit. c ZPO) – ja gerade eine andere Regelung vorsieht. Eine (materiell-rechtliche) Anforderung, dass es sich beim Streitgegenstand um materielles Handelsrecht handeln müsste, ergibt sich aus diesem Verweis nicht. Insbesondere knüpft die gemäss Art. 6 Abs. 2 lit. b ZPO vorausgesetzte Möglichkeit einer Beschwerde in Zivilsachen an das Bun- desgericht einzig daran an, dass "ein Fachgericht für handelsrechtliche Streitigkei- ten als einzige kantonale Instanz" entschieden hat (Art. 75 Abs. 2 lit. b BGG; vgl. auch Bundesgericht, 4A_255/2011, Urteil vom 4. Juli 2011, E. 1). Indessen: Ein "Fachgericht für handelsrechtliche Streitigkeiten" ist das Handelsgericht auch dann, wenn es nicht über Tatbestände des materiellen Handelsrechts entschei- det, sondern über eine Streitigkeit, für die es gestützt auf das Wahlrecht von Art. 6 Abs. 3 ZPO oder auf Art. 6 Abs. 4 ZPO i.V.m. § 44 lit. a GOG zuständig ist (vgl. auch SCHWALLER/NAEGELI, a.a.O., S. 10).</w:t>
      </w:r>
    </w:p>
    <w:p>
      <w:r>
        <w:t>- 6 -</w:t>
      </w:r>
    </w:p>
    <w:p>
      <w:r>
        <w:rPr>
          <w:b/>
        </w:rPr>
        <w:t>E. 3.8</w:t>
      </w:r>
    </w:p>
    <w:p>
      <w:r>
        <w:t>Auch die Materialien stützen eine Beschränkung des Anwendungsbereichs von Art. 6 Abs. 3 ZPO nicht (vgl. BRUNNER, Doppelinstanzprinzip, S. 5 f.): Der Entwurf des Bundesrates enthielt kein Klägerwahlrecht. Er war diesbezüglich strenger als die damals in den Handelsgerichtskantonen geltenden Regelungen; auf diesen Umstand wurde in der Botschaft auch explizit hingewiesen. Zur Be- gründung für die Verschärfung wurde in der Botschaft ausgeführt, dass "sonst Konsumentenstreitigkeiten bei einem Streitwert von über 30'000 Franken – z.B. aus Kauf eines privaten Personenwagens – plötzlich der Handelsgerichtsbarkeit unterstehen würden (statt dem ordentlichen Verfahren)" (SCHWALLER/NAEGELI, a.a.O., S. 8, mit Hinweisen). Erst im Laufe der parlamentarischen Beratungen wurde dann – auf Antrag der Rechtskommission des Ständerates – der heutige Art. 6 Abs. 3 ZPO eingefügt. Den (unter Vertraulichkeitsauflage von der Bundesverwaltung erhältlich gemach- ten, vgl. act. 14 - 16) Kommissionsprotokollen des National- und Ständerates zur Schweizerischen Zivilprozessordnung lässt sich eine Beschränkung des Kläger- wahlrechts auf Einzelunternehmen ohne Registereintrag sowie Personengemein- schaften im Gründungsstadium von Handelsgesellschaften nicht entnehmen. Vielmehr ergibt sich daraus, dass Grundgedanke der Einfügung des heutigen Art. 6 Abs. 3 ZPO die Beibehaltung der unter dem kantonalen Recht geltenden Regelung des Zuständigkeitsbereichs der Handelsgerichte war. Dieses Recht sah in keinem der Handelsgerichtskantone, welche ein mit Art. 6 Abs. 3 ZPO ver- gleichbares Klägerwahlrecht kannten – Aargau, Bern und Zürich –, eine Be- schränkung des Klägerwahlrechts auf Einzelunternehmen ohne Registereintrag sowie Personengemeinschaften im Gründungsstadium von Handelsgesellschaf- ten vor. Mit anderen Worten sollten mit der Ergänzung der ZPO durch das Klägerwahl- recht – der bewährten Regelung in den bisherigen Handelsgerichtskantonen ent- sprechend – die Vorteile der Handelsgerichtsbarkeit (Fachkompetenz, Beschleu- nigung der Prozesse, vgl. Botschaft des Bundesrates zum Entwurf der Schweize- rischen Zivilprozessordnung vom 28. Juni 2006, BBl 2006 72221 [zit. Botschaft], S. 7261) auch nicht im Handelsregister eingetragenen natürlichen Personen zu-</w:t>
      </w:r>
    </w:p>
    <w:p>
      <w:r>
        <w:t>- 7 - gänglich gemacht werden (sofern die übrigen Voraussetzungen von Art. 6 Abs. 2 lit. a und b ZPO erfüllt sind).</w:t>
      </w:r>
    </w:p>
    <w:p>
      <w:r>
        <w:rPr>
          <w:b/>
        </w:rPr>
        <w:t>E. 3.9</w:t>
      </w:r>
    </w:p>
    <w:p>
      <w:r>
        <w:t>Nur am Rande sei bemerkt, dass – entsprechend der bewährten Regelung – die Handelsgerichte für rein arbeitsrechtliche Streitigkeiten wie bis anhin nicht zu- ständig sind (vgl. ZR 103 (2004) Nr. 16); Klagen zwischen Arbeitnehmer und Ar- beitgeber aus dem Arbeitsverhältnis betreffen nicht die geschäftliche Tätigkeit i.S.v. Art. 6 Abs. 2 lit. a ZPO.</w:t>
      </w:r>
    </w:p>
    <w:p>
      <w:r>
        <w:rPr>
          <w:b/>
        </w:rPr>
        <w:t>E. 3.10</w:t>
      </w:r>
    </w:p>
    <w:p>
      <w:r>
        <w:t>Im Ergebnis ist somit – da die Streitigkeit die geschäftliche Tätigkeit des Be- klagten betrifft (vgl. RÜETSCHI, in: Sutter-Somm/Hasenböhler/Leuenberger, ZPO Komm., Art. 6 N 21) und auch die Streitwertgrenze von Art. 74 Abs. 1 lit. b BGG erreicht – das Handelsgericht des Kantons Zürich für die vorliegende Klage auch sachlich zuständig. Die Unzuständigkeitseinrede des Beklagten ist abzuweisen.</w:t>
      </w:r>
    </w:p>
    <w:p>
      <w:r>
        <w:rPr>
          <w:b/>
        </w:rPr>
        <w:t>E. 4</w:t>
      </w:r>
    </w:p>
    <w:p>
      <w:r>
        <w:t>Minderheitsmeinungen Eine Minderheit des Gerichts gab eine abweichende, auf Unzuständigkeit des Handelsgerichts lautende Meinung zu Protokoll (Prot. S. 7; act. 17). Diese ist den Parteien – unter gleichzeitiger Zustellung des schriftlich ausgefertigten Minder- heitsantrags – mitzuteilen (§ 124 Satz 2 GOG; Hauser/Schweri/Lieber, GOG- Kommentar, § 124 N 7)</w:t>
      </w:r>
    </w:p>
    <w:p>
      <w:r>
        <w:rPr>
          <w:b/>
        </w:rPr>
        <w:t>E. 5</w:t>
      </w:r>
    </w:p>
    <w:p>
      <w:r>
        <w:t>Fortsetzung des Verfahrens Nachdem sich das Handelsgericht des Kantons Zürich als für die vorliegende Klage zuständig erwiesen hat, ist dem Beklagten die Frist zur Klageantwort erneut anzusetzen, wobei die Frist – wie in der Verfügung vom 21. November 2011 an- gekündigt (vgl. Prot. S. 5) – einen Monat beträgt.</w:t>
      </w:r>
    </w:p>
    <w:p>
      <w:r>
        <w:rPr>
          <w:b/>
        </w:rPr>
        <w:t>E. 6</w:t>
      </w:r>
    </w:p>
    <w:p>
      <w:r>
        <w:t>Kosten- und Entschädigungsfolgen Über die Prozesskosten ist im Endentscheid zu entscheiden (Art. 104 Abs. 1 ZPO).</w:t>
      </w:r>
    </w:p>
    <w:p>
      <w:r>
        <w:t>- 8 -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