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HG110066 vom 10. April 2013</w:t>
      </w:r>
    </w:p>
    <w:p>
      <w:r>
        <w:t>Zh Handelsgericht, 2013-04-10, DE</w:t>
      </w:r>
    </w:p>
    <w:p>
      <w:r>
        <w:rPr>
          <w:b/>
        </w:rPr>
        <w:t xml:space="preserve">Quelle: </w:t>
      </w:r>
      <w:r>
        <w:t>https://mcp.opencaselaw.ch/entscheid/zh_handelsgericht_HG110066</w:t>
      </w:r>
    </w:p>
    <w:p>
      <w:r>
        <w:t>FR: ZH_HANDELSGERICHT HG110066 du 10 avril 2013</w:t>
      </w:r>
    </w:p>
    <w:p>
      <w:r>
        <w:t>IT: ZH_HANDELSGERICHT HG110066 del 10 aprile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 Rechtsbegehren 2a und 2b sei nicht einzutreten, eventuell seien diese vollumfänglich abzuweisen; unter Kosten und Entschädigungsfolgen zulasten der Klägerin."</w:t>
      </w:r>
    </w:p>
    <w:p>
      <w:r>
        <w:t>- 4 -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