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HG100286 vom 21. Mai 2013</w:t>
      </w:r>
    </w:p>
    <w:p>
      <w:r>
        <w:t>Zh Handelsgericht, 2013-05-21, DE</w:t>
      </w:r>
    </w:p>
    <w:p>
      <w:r>
        <w:rPr>
          <w:b/>
        </w:rPr>
        <w:t xml:space="preserve">Quelle: </w:t>
      </w:r>
      <w:r>
        <w:t>https://mcp.opencaselaw.ch/entscheid/zh_handelsgericht_HG100286</w:t>
      </w:r>
    </w:p>
    <w:p>
      <w:r>
        <w:t>FR: ZH_HANDELSGERICHT HG100286 du 21 mai 2013</w:t>
      </w:r>
    </w:p>
    <w:p>
      <w:r>
        <w:t>IT: ZH_HANDELSGERICHT HG100286 del 21 maggio 2013</w:t>
      </w:r>
    </w:p>
    <w:p>
      <w:pPr>
        <w:pStyle w:val="Heading2"/>
      </w:pPr>
      <w:r>
        <w:t>Erwägungen</w:t>
      </w:r>
    </w:p>
    <w:p>
      <w:r>
        <w:rPr>
          <w:b/>
        </w:rPr>
        <w:t>E. 7</w:t>
      </w:r>
    </w:p>
    <w:p>
      <w:r>
        <w:t>Februar 2006/3. März 2006 (act. 4/3, nachfolgend alte Police) und die Versi- cherungspolice vom 8. Oktober 2007 (act. 4/4, nachfolgend neue Police) zur An- wendung. Die Klägerin verlangt eine Entschädigung für Forderungsausfälle, die ihr im Zu- sammenhang mit drei ihrer Kunden entstanden sind, nämlich mit der E._____, …, …, Deutschland (im Folgenden E._____), mit der F._____ mbH, ..., Deutschland (im Folgenden F._____) und mit der G._____, Herr ..., ..., Deutschland (im Fol- genden G._____). Die Forderungsausfälle belaufen sich auf insgesamt EUR 322'985.22. Die Beklagte weigert sich, den geltend gemachten Schaden zu übernehmen. Nicht einig sind sich die Parteien, ob in Bezug auf die alte Police die allgemeinen Vertragsbedingungen der Beklagten (im folgenden AVB) gelten. Weiter streiten die Parteien darüber, ob die Klägerin ihren Obliegenheiten aus dem Versiche- rungsvertrag, namentlich den Informations- und Schadenminderungspflichten, nachgekommen ist und welche Rechtsfolgen allfällige Verletzungen hätten. In diesem Zusammenhang ist umstritten, wie die vertraglichen Bestimmungen zu verstehen sind und welche Forderungen dem Versicherungsvertrag und damit den daraus fliessenden Obliegenheiten unterstanden. In Bezug auf die Forde- rungsausfälle gegenüber der Kundin E._____ ist zudem die Höhe der Kreditlimite umstritten.</w:t>
      </w:r>
    </w:p>
    <w:p>
      <w:r>
        <w:t>- 4 - 3. Formelles 3.1. Anwendbares Prozessrecht Am 1. Januar 2011 ist die eidgenössische Zivilprozessordnung (ZPO) in Kraft ge- treten. Nach deren Art. 404 Abs. 1 gilt für Verfahren, die bei Inkrafttreten dieses Gesetzes rechtshängig sind, das bisherige Verfahrensrecht (ZPO/ZH und GVG) bis zum Abschluss vor der betroffenen Instanz. Für die Rechtsmittel gilt hingegen das Recht, das bei der Eröffnung des Entscheides in Kraft ist (Art. 405 Abs. 1 ZPO). Ebenfalls am 1. Januar 2011 ist das revidierte Lugano-Übereinkommen (LugÜ) in Kraft getreten. Nach Art. 63 Ziff. 1 LugÜ sind die Vorschriften dieses Übereinkommens nur auf Klagen, die nach dem Inkrafttreten angehoben worden sind, anzuwenden. Für früher erhobene Klagen gilt das alte Recht. Die Klage war am 1. Januar 2011 bereits rechtshängig. Demnach ist das frühere Verfahrensrecht (ZPO/ZH, GVG und aLugÜ) massgebend. Für die Rechtsmittel ist das neue Prozessrecht massgebend (Art. 308 ff. ZPO). 3.2. Zuständigkeit Die Klägerin hat Sitz in der Schweiz, die Beklagte in den Niederlanden. Es liegt ein internationaler Sachverhalt vor. Die Zuständigkeit richtet sich nach dem Über- einkommen über die gerichtliche Zuständigkeit und die Anerkennung und Voll- streckung von Entscheidungen in Zivil- und Handelssachen vom 16. September 1988 (aLugÜ; SR 0.275.11). Es liegt eine Versicherungssache vor. Die Zustän- digkeit in Versicherungssachen ist im euro-internationalen Bereich besonders ge- regelt: Nach Art. 8 Abs. 1 i.V.m. Art. 53 aLugÜ kann der Versicherer, der seinen Sitz im Hoheitsgebiet eines Vertragsstaates hat, entweder vor den Gerichten die- ses Staates oder aber in einem anderen Vertragsstaat verklagt werden und zwar vor dem Gericht jenes Bezirks, in dem der Versicherungsnehmer seinen Sitz hat. Hat ein Versicherer in einem Vertragsstaat bloss eine Niederlassung, so wird er für Streitigkeiten aus ihrem Betrieb so behandelt, wie wenn er seinen Sitz im Ho- heitsgebiet dieses Staates hätte (Art. 8 Abs. 2 aLugÜ). Eine Gerichtsstandsver- einbarung ist nur unter den besonderen Voraussetzungen von Art. 12 Ziff. 1 aLugÜ zulässig. Eine Einlassung ist möglich (vgl. Art. 19 und 20 aLugÜ). Die Be-</w:t>
      </w:r>
    </w:p>
    <w:p>
      <w:r>
        <w:t>- 5 - klagte hat ihren Sitz nicht in der Schweiz, unterhält hier indes eine Zweignieder- lassung. Damit ist die internationale Zuständigkeit in der Schweiz gemäss Art. 8 Abs. 1 Ziff. 1 und Abs. 2 aLugÜ begründet. Die örtliche Zuständigkeit am Sitz der Zweigniederlassung in D._____ ist gemäss Art. 112 IPRG begründet. Dieser Ge- richtsstand entspricht dem von den Parteien vertraglich vereinbarten Gerichts- stand (vgl. act. 1 S. 3), weshalb sich die Gerichtsstandsvereinbarung im Lichte von Art. 12 aLugÜ nicht als ungültig erweist. Im Übrigen wurde der Gerichtsstand durch Einlassung begründet, da die Beklagte die Zuständigkeit des zürcherischen Gerichts nicht bestritt und sich einlässlich zur Sache äusserte. Demzufolge ist die internationale und örtliche Zuständigkeit gegeben. Die Beklagte ist eine im niederländischen Register eingetragene Aktiengesell- schaft nach niederländischem Recht. Nachdem auch der Streitgegenstand und der Streitwert den Anforderungen von § 62 GVG/ZH entsprechen, ist die sachli- che Zuständigkeit des Handelsgerichts des Kantons Zürich zu Recht unbestritten geblieben (§ 62 Abs. 1 i.V.m. § 63 Ziff. 2 GVG/ZH i.V.m. § 18 Abs. 1 ZPO/ZH; act. 1 S. 3; act. 13 S. 3). 3.3. Auslegung Rechtsbegehren 1 3.3.1. Die Klägerin verlangt mit Rechtsbegehren 1 die "Zahlung von CHF 400'000.27 nebst 5% Zins seit 18.03.2009 (Euro 275'387.45 zum Kurs von 1.4525 vom 17.03.2010) sowie CHF 209.- Zahlungsbefehlskosten". 3.3.2. Die Beklagte wies in der Duplik zu Recht darauf hin, dass die Klägerin die Forderung in Euro hätte einklagen müssen und nicht in Schweizer Franken (act. 26 S. 21). Die Klägerin war bei der Beklagten gegen Forderungsausfälle ver- sichert. Zwischen den Parteien ist nicht strittig, dass eine Versicherungsleistung im Prinzip in Euro geschuldet ist (Klägerin: act. 1 S. 10, 51). Auch basiert die ge- samte Klagebegründung der Klägerin auf dieser Währung. Es steht ausser Frage, dass die Beklagte im vorliegenden Verfahren angesichts von Art. 84 Abs. 1 OR nicht zu einer Zahlung in Schweizer Franken verpflichtet werden kann. Das Ge- richt darf dem Gläubiger im Erkenntnisverfahren nur eine Zahlung in der geschul- deten Fremdwährung zusprechen (BGE 134 III 151, Erw. 2.4, vgl. ZR 90/1991</w:t>
      </w:r>
    </w:p>
    <w:p>
      <w:r>
        <w:t>- 6 - Nr. 37). Das Bundesgericht hat diesen Grundsatz in Bezug auf die materielle Rechtslage in einem jüngeren Entscheid ausdrücklich bestätigt, namentlich für den Fall, dass die entsprechende Forderung - wie vorliegend geschehen - bereits in Betreibung gesetzt wurde und im Rahmen dieses Vollstreckungsverfahrens gemäss Art. 67 Ziff. 1 SchKG in Schweizer Franken umgerechnet werden musste (BGE 134 III 151, Erw. 2.3). 3.3.3. Es stellt sich die Frage, ob Rechtsbegehren 1 - stets unter Beachtung der Dispositionsmaxime - vor dem Hintergrund des laufenden Vollstreckungsverfah- rens und mit Blick auf Rechtsbegehren 2 nicht wörtlich, sondern sinngemäss zu verstehen ist. Im erwähnten Leitentscheid liess das Bundesgericht ausdrücklich offen, wie derartige Begehren prozessual zu behandeln sind. In Betracht zu zie- hen sei insbesondere, ob auf derartige Begehren gestützt auf kantonales Pro- zessrecht dennoch die eigentliche Fremdwährung zugesprochen werden könne, namentlich wenn eine Betreibung bereits eingeleitet ist (BGE 134 III 151, Erw. 2.4). In einem älteren Entscheid hielt das Bundesgericht fest, dass es in sol- chen Fällen nicht gegen Bundesrecht verstosse, wenn ein Gericht das "verein- fachte Rechtsbegehren" auslege und dem Kläger einerseits die Zahlung in einer Fremdwährung zuspreche und anderseits den Rechtsvorschlag in der Betreibung über einen Betrag in Schweizer Franken aufhebe (BGE 72 III 100, Erw. 3). Rechtsbegehren sind nach ihrem Sinngehalt und nach dem Grundsatz von Treu und Glauben auszulegen (ZR 81 Nr. 48). Im vorliegenden Fall ist zwischen den Parteien eine Betreibung hängig, aber durch Rechtsvorschlag eingestellt. Die Klägerin verlangt mit Rechtsbegehren 2 die Aufhebung des Rechtsvorschlages. Wird bei dieser Ausgangslage ein "vereinfachtes" Rechtsbegehren gestellt und kurzerhand eine Verurteilung zur Zahlung in Schweizer Franken verlangt, so führt dies nicht ohne weiteres zur Abweisung der Klage (ZR 90 Nr. 37; vgl. BGE 72 III 100, Erw. 3). Aus den Ausführungen der Klägerin lässt sich erkennen, dass sie die Schuld in der Währung Euro für begründet hält und dass sie die Zahlung in Schweizer Franken im Zusammenhang mit dem laufenden Vollstreckungsverfah- ren verlangt (act. 22 S. 59). Rechtsbegehren 1 ist daher so auszulegen, dass die Klägerin die Erfüllung der Schuld verlangt, deren Vollstreckung durch Bezahlung</w:t>
      </w:r>
    </w:p>
    <w:p>
      <w:r>
        <w:t>- 7 - von CHF 400'000.27 sie gleichzeitig vorantreibt, dass sie aber auch eine Erfüllung der Schuld durch Bezahlung von EUR 275'387.45 akzeptieren würde.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