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HG100052 vom 7. März 2013</w:t>
      </w:r>
    </w:p>
    <w:p>
      <w:r>
        <w:t>Zh Handelsgericht, 2013-03-07, DE</w:t>
      </w:r>
    </w:p>
    <w:p>
      <w:r>
        <w:rPr>
          <w:b/>
        </w:rPr>
        <w:t xml:space="preserve">Quelle: </w:t>
      </w:r>
      <w:r>
        <w:t>https://mcp.opencaselaw.ch/entscheid/zh_handelsgericht_HG100052</w:t>
      </w:r>
    </w:p>
    <w:p>
      <w:r>
        <w:t>FR: ZH_HANDELSGERICHT HG100052 du 7 mars 2013</w:t>
      </w:r>
    </w:p>
    <w:p>
      <w:r>
        <w:t>IT: ZH_HANDELSGERICHT HG100052 del 7 marzo 2013</w:t>
      </w:r>
    </w:p>
    <w:p>
      <w:pPr>
        <w:pStyle w:val="Heading2"/>
      </w:pPr>
      <w:r>
        <w:t>Erwägungen</w:t>
      </w:r>
    </w:p>
    <w:p>
      <w:r>
        <w:rPr>
          <w:b/>
        </w:rPr>
        <w:t>E. 24</w:t>
      </w:r>
    </w:p>
    <w:p>
      <w:r>
        <w:t>FRITZSCHE/WALDER (Fn. 20), § 67 N. 1." Dem ist an sich nichts beizufügen. Es könnte damit sein Bewenden haben, da von einer Verwirkung der Ansprüche auszugehen wäre.</w:t>
      </w:r>
    </w:p>
    <w:p>
      <w:r>
        <w:t>- 55 - Die nachfolgenden Ausführungen erfolgen rein eventualiter und nur für den Fall, dass man der klägerischen Argumentation hätte folgen müssen, dass die Verwir- kungsfrist gewahrt wäre. 4.6. Schenkungspauliana 4.6.1. Parteiausführungen Die Klägerin behauptet, die von der A._____ Holding liberierten Aktien der A._____ Trading seien wertlos gewesen. Die Forderung der A._____ Holding ge- genüber der A._____ Trading sei aufgrund der Überschuldung zwar ebenfalls nicht mehr voll werthaltig gewesen, habe aber in jedem Fall den Wert der mut- masslichen Konkursdividende gehabt, welche beispielsweise im Falle einer erfolg- reichen Verantwortlichkeitsklage erheblich wäre. Wirtschaftlich sei daher der For- derungsverzicht der A._____ Holding über CHF 95 Mio. infolge Verrechnungslibe- rierung erheblich wertvoller als die erhaltenen Aktien der A._____ Trading gewe- sen. Eine Verpflichtung zur Zeichnung der Aktien mit anschliessender Verrech- nungsliberierung habe seitens der A._____ Holding nicht bestanden. Entspre- chend sei die Kapitalerhöhung vom 16. Dezember 2002 nach Art. 286 Abs. 2 Ziff. 1 SchKG anfechtbar (act. 34 Rz. 63 ff.). In der Eingabe vom 26. April 2012 macht die Klägerin sodann geltend, dass mit einer Konkursdividende in der Grössenord- nung von 1% gerechnet werden dürfe. Was die Forderung der A._____ Holding betreffe, so handle es sich dabei um einen sechsstelligen Betrag (act. 42 Rz. 26 ff.). Der Beklagte bestreitet ein Missverhältnis zwischen dem damaligen Wert der For- derung der A._____ Holding und dem dafür der A._____ Holding zugesprochenen Aktienkapital der A._____ Trading. Bei einer Verrechnungsliberierung bestehe stets zumindest eine Adäquanz der Leistungen, weil die um die verrechnete For- derung erleichterte Gesellschaft immer einen höheren Wert habe, als sie vor der Verrechungsliberierung gehabt habe, und weil dieser höhere Wert zumindest dem Wert der Forderung entspreche, um die die Gesellschaft entlastet wurde. Zudem könnte im vorliegenden Fall dem Wert der Forderung der A._____ Holding im Zeitpunkt der Kapitalerhöhung selbst dann kein wesentlich höherer Wert zuge-</w:t>
      </w:r>
    </w:p>
    <w:p>
      <w:r>
        <w:t>- 56 - schrieben werden als dem erhaltenen Aktienkapital der A._____ Trading, wenn der Wert des Aktienkapitals der A._____ Trading mit Null bewertet werden würde. Noch heute werde nämlich, wie gezeigt, die Konkursdividende, welche die A._____ Trading möglicherweise dereinst ihren Drittklassgläubigern werde aus- zahlen können, mit Null bewertet. Auch auf Seiten der A._____ Holding werde, wie gezeigt, davon ausgegangen, dass die Gläubiger der dritten Klasse mit einer Nulldividende rechnen müssten. Dies trotz vollständiger Kollozierung der Forde- rung der A._____ Holding gegenüber der A._____ Trading und trotz der Tatsa- che, dass die kollozierte Forderung der A._____ Holding gegenüber der A._____ Trading bestimmt nicht die einzige Forderung bzw. das einzige Aktivum der A._____ Holding sei. Ein nur geringes Missverhältnis zwischen Leistung und Ge- genleistung reiche aber nicht aus, um sich auf eine Schenkungsanfechtung beru- fen zu können. Es bedürfe vielmehr einer erheblichen Gleichgewichtsstörung der Leistungen. Insbesondere in Konzernverhältnissen könne und dürfe ein Missver- hältnis zweier Leistungen von verbundenen Gesellschaften nicht ohne weiteres angenommen werden. Es müssten vielmehr die Konzerninteressen in ihrer Ge- samtheit mit in Betracht gezogen werden. Aus diesem Grund sei das Missverhält- nis zweier Leistungen im Konzernverhältnis kaum je gegeben. Dies gelte umso mehr im vorliegenden Fall, wo das Überleben des Konzerns ja nur möglich gewe- sen sei, wenn auch die A._____ Trading überlebte (act. 37 Rz. 36 ff.). Die Ausfüh- rungen der Klägerin vom 26. April 2012 will der Beklagte infolge verspäteten Vor- bringens aus dem Recht gewiesen wissen (siehe act. 45). 4.6.2. Zulässigkeit der Parteiausführungen Die Behauptung, dass aus dem Konkurs der A._____ Trading eine Dividende für die Gläubiger der 3. Klasse zu erwarten sei, ist ein Novum (act. 42 Rz. 34). Die Klägerin beruft sich dabei auf das 12. Zirkularschreiben an die Gläubiger der A._____ Trading vom 26. Mai 2011 (act. 43/1). Nachdem die Klägerin selbst Ver- fasserin des Zirkularschreibens war, sind ihr die darin geschilderten Tatsachen spätestens seit Erlass des Schreibens bekannt. Das Schreiben wurde nach kläge- rischen Angaben lange vor der Replikschrift vom 8. November 2011 verfasst. Damit wäre die Klägerin grundsätzlich in der Lage gewesen, die Behauptung be-</w:t>
      </w:r>
    </w:p>
    <w:p>
      <w:r>
        <w:t>- 57 - reits replicando vorzubringen. Die Klägerin beruft sich in diesem Zusammenhang auf § 115 Ziff. 2 ZPO/ZH, wonach Behauptungen, Bestreitungen und Einreden, deren Richtigkeit sich aus den Prozessakten ergibt oder die durch neu eingereich- te Urkunden sofort bewiesen werden können, zulässig sind (siehe act. 47). Im ge- nannten Zirkulationsschreiben heisst es wie folgt (act. 43/1 S. 2, Ziff. 5, 2. Ab- satz): "Eine allfällige Dividende für die Gläubiger der III. Klasse fällt ohne Berücksichtigung des Verant- wortlichkeitsprozesses sehr gering aus (&lt; 1%). Da jedoch der Ausgang des Verantwortlichkeits- prozesses massgeblich die Höhe der Dividende beeinflussen wird, sind nähere Angaben dazu im heutigen Zeitpunkt nicht möglich." Wie die Klägerin daraus ableitet, dass die Gläubiger "mit einer Konkursdividende in der Grössenordnung von 1% rechnen" dürfen, ist nicht ersichtlich. Vielmehr geht aus dem Schreiben hervor, dass Gläubiger der 3. Klasse sich – den Aus- gang des Verantwortlichkeitsprozesses ungeachtet – voraussichtlich mit einer sehr geringen, unter einem Prozent liegenden Konkursdividende zufrieden geben müssen. Damit ist die klägerische Behauptung, wonach mit einer Konkursdividen- de in der Grössenordnung von 1 % gerechnet werden könne, nicht sofort beweis- bar, weshalb die Behauptung auch nicht gestützt auf § 115 Ziff. 2 ZPO/ZH zuge- lassen werden kann. Die neu vorgebrachte Behauptung darf folglich keinen Ein- gang in die Beurteilung finden. Es verhält sich auch nicht so, dass die Klägerin erst nach ergangener Duplik zu diesen Ausführungen veranlasst worden wäre, denn bereits in der Klageantwort hat der Beklagte die erfolgreiche Anfechtung der Verrechnungsliberierung bestritten und somit den Anlass für die Klägerin gesetzt, sämtliche Voraussetzungen für die erfolgreiche Anfechtung substanziiert zu be- haupten. Dies hat die Klägerin im Grundsatz auch erkannt, als sie replicando aus- führte, die Forderung der A._____ Holding sei gegenüber der A._____ Trading aufgrund der Überschuldung zwar ebenfalls nicht mehr voll werthaltig gewesen, habe aber in jedem Fall den Wert der mutmasslichen Konkursdividende, welche beispielsweise im Fall einer erfolgreichen Verantwortlichkeitsklage erheblich wäre (act. 34 Rz. 67). In diesem Zeitpunkt hätte sie ihre Behauptung substanziieren müssen. Die Eingabe vom 26. April 2012 ist hierfür zu spät.</w:t>
      </w:r>
    </w:p>
    <w:p>
      <w:r>
        <w:t>- 58 - 4.6.3. Rechtliches Gemäss Art. 286 Abs. 1 SchKG sind mit Ausnahme üblicher Gelegenheitsge- schenke alle Schenkungen und unentgeltlichen Verfügungen anfechtbar, die der Schuldner innerhalb des letzten Jahres vor der Pfändung oder Konkurseröffnung vorgenommen hat. Den Schenkungen gleichgestellt sind Rechtsgeschäfte, bei denen der Schuldner eine Gegenleistung angenommen hat, die zu seiner eigenen Leistung in einem Missverhältnisse steht, und Rechtsgeschäfte, durch die der Schuldner für sich oder für einen Dritten eine Leibrente, eine Pfrund, eine Nutz- niessung oder ein Wohnrecht erworben hat (Art. 286 Abs. 2 SchKG). Ein Missverhältnis zwischen Leistung und Gegenleistung im Sinne von Art. 286 Abs. 2 Ziff. 1 SchKG liegt vor, wenn die Leistung, die der Schuldner erhält, erheb- lich geringer ist als seine eigene Leistung (vgl. den französischen Text: les actes par lesquels le débiteur a accepté un prix notablement inférieur à la valeur de sa prestation; BGE 49 III 30). Ob ein solches Missverhältnis besteht, beurteilt sich nach dem wirtschaftlichen Wert der Leistungen. Ist die Leistung des Schuldners wirtschaftlich erheblich mehr wert als die Gegenleistung, so ist das Geschäft nach Art. 286 anfechtbar, wenn der Schuldner seine Mehrleistung ohne rechtliche Ver- pflichtung hiezu erbrachte. Ob das Missverhältnis der Leistungen und die Gefahr einer Schädigung der Gläubiger für den Empfänger der Leistung des Schuldners erkennbar waren, ist unerheblich. Ebenso kommt nach der herrschenden Lehre nichts darauf an, ob der Schuldner selbst das Missverhältnis kannte oder erken- nen konnte (BGE 95 III 47 E. 2). Massgebend kann allerdings nur der Verkehrs- wert bei Abschluss des Rechtsgeschäftes sein (siehe KUKO SchKG- Umbach- Spahn, Art. 286 N 4). 4.6.4. Subsumption Wie gesagt, kommt es auf den Wert an, der den Leistungen am 16. Dezember 2002 aufgrund einer objektiven Bewertung zugemessen wurde. Es darf ange- nommen werden, dass die Klägerin resp. die Konkursverwalterin D._____ AG ei- ne solche Bewertung vorgenommen hatte, als die Forderung bei ihr angemeldet wurde. Wie aus den Zirkularschreiben aus den Jahren 2004 und 2006 hervorgeht,</w:t>
      </w:r>
    </w:p>
    <w:p>
      <w:r>
        <w:t>- 59 - ging sie während mehrerer Jahre davon aus, dass die Gläubiger der A._____ Trading mit drittklassigen Forderungen im Konkurs leer ausgehen würden (siehe dazu die entsprechenden Zirkularschreiben vom 24. Februar 2004 [act. 38/4 S. 4] und vom 24. August 2006 [act. 38/5 S. 5]). Wenn die Klägerin (verspätet) behaup- tet, es sei in der Praxis üblich, äusserst konservative Angaben zu machen (act. 42 Rz. 35), sagt sie damit nicht aus, dass sie nicht den Totalverlust für die Gläubiger der 3. Gläubigerklasse erwartete. Somit wurde auch die Forderung der A._____ Holding über CHF 95 Mio. als wertlos eingeschätzt. Es gingen offensichtlich alle Beteiligten davon aus, dass den Forderungen der Drittklassgläubiger überhaupt nur dann noch ein Wert zugemessen werden konnte, wenn der Konzern zumin- dest aber die A._____ Trading überleben sollte. Ohne Verrechnungsliberierung wäre eine Unternehmenssanierung aber ohnehin aussichtslos gewesen. Die Klä- gerin stellt sich gar auf den Standpunkt, dass die Sanierung auch mit der Ver- rechnungsliberierung aussichtslos geblieben sei. Mithin kann die Verrechnungsli- berierung nur als letzter Versuch gesehen werden, den Konzern zu retten mit der längerfristigen Absicht, den Aktienwert – und damit die für die wertlose Forderung erhaltene Gegenleistung – wieder zu steigern. Wenn die Klägerin behauptet, die Aktien seien am 16. Dezember 2002 wertlos gewesen, so muss sie sich auch entgegenhalten lassen, dass es nach ihrer eigenen Einschätzung auch die Forde- rung der A._____ Holding gegenüber der A._____ Trading war, womit ein erhebli- ches Missverhältnis im Sinne von Art. 286 Abs. 2 Ziff. 1 SchKG ausgeschlossen ist und kein Anfechtungsanspruch besteht. Geht man dahingegen davon aus, den Zirkularschreiben der Konkursverwalterin der A._____ Trading sei keine objektive Bewertung der Verhältnisse zugrunde ge- legt worden, präsentiert sich die Lage wie folgt: Die Höhe der jeweiligen Ver- kehrswerte am 16. Dezember 2002 stellt eine Tatfrage dar. Eine Rechtsfrage ist die Frage nach dem Vorliegen eines Missverhältnisses. Der Verkehrswert kann deshalb, soweit er umstritten ist, nur durch ein Beweisverfahren ermittelt werden. Als taugliches Beweismittel kommt einzig ein Gutachten in Frage. Die retrospekti- ve Bewertung ist stets mit Ungenauigkeiten behaftet. Dies gilt auch, wenn Bruch- teile eines Nennwertes zu ermitteln sind. Bei den Schätzungen ist sodann darauf zu achten, dass Ereignisse, die nach dem für die Bewertung massgebenden Zeit-</w:t>
      </w:r>
    </w:p>
    <w:p>
      <w:r>
        <w:t>- 60 - punkt erfolgten, nicht in die Bewertung mit einfliessen dürfen. Der durch die je- weils angewandte Methode ermittelte Wert widerspiegelt somit stets eine Schein- genauigkeit, die nicht zwingend den tatsächlichen Gegebenheiten entspricht. Die- se Tatsache muss bei der Gegenüberstellung der Verkehrswerte Beachtung fin- den. Bei einer retrospektiven Bewertung kann deshalb realistischerweise nur eine Bandbreite bestimmt werden, innert der sich der tatsächliche Wert der Leistung befunden haben muss. Diese Bandbreite bewegt sich, wenn man die Bewertung sehr genau vornehmen kann, im Bereich von wenigen Prozenten des Nennwer- tes. Dies gilt insbesondere, wenn Leistungen auf einen Zeitpunkt hin zu bewerten sind, der beinahe zehn Jahre zurück liegt. Der Leistung einen fixen Wert innerhalb dieser Bandbreite zuzuordnen und gestützt darauf eine Schenkungsanfechtung zu bejahen oder zu verneinen, wäre willkürlich. Gegenüber gestellt werden dürfen folglich nur die jeweiligen Bandbreiten. Im vorliegenden Fall behauptet aber die Klägerin selbst nicht mehr als einen Wertunterschied von höchstens einem Prozent des Nennwerts. Nicht zu berück- sichtigen sind die unsubstanziierten Ausführungen der Klägerin im Hinblick auf den Wertzuwachs nach (allenfalls) erfolgreicher Verantwortlichkeitsklage, zum ei- nen weil sie nicht substanziiert sind, zum anderen weil dieser Wertzuwachs ohne- hin nicht zu berücksichtigen wäre, nachdem – wie gesagt – der Wert im Zeitpunkt der Verrechnungsliberierung massgebend ist. Die Aktien können auch nicht von vornherein als wertlos taxiert werden, weil die A._____ Trading vor und nach der Verrechnungsliberierung überschuldet war. Der Verkehrswert einer Aktie ergibt sich nicht ausschliesslich aus der Bilanz einer Unternehmung sondern entspricht einem Bruchteil des Gesellschaftswertes. Auch eine überschuldete Gesellschaft kann auf dem Markt nach wie vor einen Wert aufweisen. Der Beklagte behauptet denn auch eine Werthaltigkeit der Aktien. Selbst wenn sich die Behauptungen der Klägerin im Beweisverfahren bestätigen würden, wäre damit der Beweis des er- heblichen Missverhältnisses nicht erbracht, weil eine ermittelte Zahl nicht den exakten Verkehrswert, sondern lediglich den Ausgangspunkt für die Absteckung einer Bandbreite von wenigen Prozenten darstellen würde und diese Bandbreiten miteinander zu vergleichen wären. Nach dem Gesagten wären diese weitgehend überlappend, woraus erhellt, dass sich der Beweis des erheblichen Missverhält-</w:t>
      </w:r>
    </w:p>
    <w:p>
      <w:r>
        <w:t>- 61 - nisses im vorliegenden Fall zu Lasten der Klägerin überhaupt nicht erbringen lies- se. Nicht massgebend wäre dabei der absolute Wert eines Prozentes. 4.7. Absichtspauliana 4.7.1. Parteivorbringen Die Klägerin führt aus, dass im Zeitpunkt der Vornahme der Verrechnungsliberie- rung sowohl die A._____ Holding wie auch die A._____ Trading in massiven wirt- schaftlichen Schwierigkeiten gesteckt seien. Dieser Umstand sei allgemein und insbesondere auch den Organen der A._____ Holding sowie der A._____ Trading bekannt gewesen. Insbesondere müsse dem den Zeichnungsschein zu Handen der A._____ Trading mitunterzeichnenden Dr. U._____ die finanzielle desolate Lage der A._____ Trading, deren Direktor er gewesen sei, bekannt und bewusst gewesen sein. Und dass als Folge der Umwandlung der Darlehensforderung der A._____ Holding in Eigenkapital der A._____ Trading die Exekutionsrechte der Gläubiger der A._____ Holding geschmälert würden, sei von der A._____ Holding als natürliche Konsequenz der Verrechnungsliberierung voraussehbar gewesen. Die Erkennbarkeit der Schädigungsabsicht sei dann gegeben, wenn Anzeichen für eine schlechte Vermögenslage des Schuldners vorliegen oder der Begünstigte offensichtlich über die ungünstigen Vermögensverhältnisse des Schuldners infor- miert sei. Bei nahen Verbindungen zwischen dem Schuldner und dem Begünsti- gen würde eine natürliche Vermutung bestehen, dass der Begünstigte die effektiv vorhandene schlechte Vermögenslage des Schuldners gekannt habe. Vorliegend hätten … und …, welche als Verwaltungsräte der A._____ Trading die Kapitaler- höhung durchgeführt hätten, bei der A._____ Holding als Direktoren Organfunkti- on gehabt. Schon aus diesem Grund sei die Voraussetzung der Erkennbarkeit gegeben (act. 34 Rz. 68 ff.). Der Beklagte führt aus, dass man im Zeitpunkt der Verrechnungsliberierung im- mer noch davon ausgegangen sei, dass die A._____ Gruppe gerettet werden könne. Die Verrechnungsliberierung stelle eine Sanierungsmassnahme dar, mit der man die A._____ Trading zu retten versucht habe, im Wissen darum, dass die gesamte Gruppe nur überleben konnte, wenn auch die A._____ Trading überleb-</w:t>
      </w:r>
    </w:p>
    <w:p>
      <w:r>
        <w:t>- 62 - te. Überdies sei man im damaligen Zeitpunkt davon ausgegangen, dass im Kon- kursfall der A._____ Trading keine Konkursdividende für die A._____ Holding re- sultiere (act. 37 Rz. 44 ff.). Zu den Ausführungen der Klägerin in ihrer Eingabe vom 26. April 2012 siehe Ziffer III.4.6.2 hiervor. 4.7.2. Rechtliches Gemäss Art. 288 in Verbindung mit Art. 331 Abs. 2 SchKG sind alle Rechtshand- lungen anfechtbar, welche der Schuldner innerhalb der letzten fünf Jahre vor der Bestätigung des Nachlassvertrages in der dem anderen Teil erkennbaren Absicht vorgenommen hat, seine Gläubiger zu benachteiligen oder einzelne Gläubiger zum Nachteil anderer zu begünstigen. Diese Bestimmung setzt somit die Erfül- lung von drei Bedingungen voraus: das Bestehen eines dem Gläubiger (Kläger) verursachten Nachteils, die Absicht des Schuldners, diesen Nachteil zu verursa- chen (Täuschungsabsicht) und die Möglichkeit für den Begünstigten der Hand- lung, diese Absicht zu erkennen (erkennbarer Charakter der Täuschungsabsicht) (BGE 135 III 276 E. 5 [=Pra 98 (2009) Nr. 112]). Im Allgemeinen fehlt es an einer (objektiven) Schädigung, wenn der Schuldner ohne weitere, zusätzliche Rechts- handlungen für seine Sachleistung gleichzeitig oder allenfalls nachträglich eine gleichwertige verwertbare Gegenleistung erhält, da in diesem Fall das den Gläu- bigern haftende Vermögen nicht vermindert wird. Eine Schädigung kann aller- dings durch besondere Ausgestaltung des Geschäfts oder durch zusätzliche Rechtshandlungen des Schuldners, die mit dem Austauschgeschäft sachlich zu- sammenhängen und mit demselben als Einheit vom erforderlichen Schädigungs- vorsatz des Schuldners erfasst werden müssen, eintreten. Ferner kann trotz Aus- tausch gleichwertiger Vermögensleistungen mit Umschichtung der Aktiven eine Schädigung der Gläubiger eintreten, wenn das betreffende Rechtsgeschäft in ei- ner anfechtbaren Verfügung des finanziell bedrängten Schuldners über seine "letzten Aktiven" besteht, insb. wenn der Schuldner in diesem Stadium Zahlungen nur an bestimmte Gläubiger zum Nachteil der übrigen Gläubiger leistet (BSK SchKG II-Staehelin, Art. 288 Rz. 11 ff.). 4.7.3. Subsumption</w:t>
      </w:r>
    </w:p>
    <w:p>
      <w:r>
        <w:t>- 63 - Dass die A._____ Holding wie auch die A._____ Trading resp. deren Organe über die desolate Lage beider Unternehmungen im Bild waren, liegt angesichts der en- gen personellen Verflechtung auf der Hand. Fraglich erscheint hingegen, ob die handelnden Organe auch eine Schädigungsabsicht im erforderlichen Sinne hat- ten. Hierfür wäre vorauszusetzen, dass sie (zumindest) voraussehen konnten und mussten, dass die Rechtshandlung Gläubiger benachteiligte oder einzelne Gläu- biger bevorzugte. Massgebend für die Beurteilung ist der Kenntnisstand im Zeit- punkt der Vornahme der umstrittenen Rechtshandlung, mithin am 16. Dezember 2002. Damals und offenbar auch nach Eröffnung des Konkurses ging man davon aus, dass Drittklassgläubiger keine Konkursdividende mehr erwarten dürften. Dies wird vom Beklagten behauptet (act. 37 Rz. 23) und geht nicht zuletzt auch aus den vorgelegten Zirkularschreiben hervor: So schrieb die Klägerin im 3. wie auch noch im 7. Zirkularschreiben an die Gläubiger der A._____ Trading, dass davon ausgegangen werden müsse, dass den Gläubigern der 3. Klasse keine Dividende ausgerichtet werden könne (act. 38/4 S. 4, act. 38/5 S. 5). Dass die Verrech- nungsliberierung vom 16. Dezember 2002 eine Sanierungsbemühung darstellte, wird von der Klägerin nicht bestritten. Ihre Bestreitung beschränkt sich auf die Tauglichkeit der Bemühungen (act. 34 Rz. 281). Ob die konkrete Sanierungsbe- mühung den erwarteten Effekt brachte, kann in diesem Zusammenhang jedoch offen bleiben. Wesentlich ist, dass es sich um eine ernsthafte Sanierungsbemü- hung handelte. Gegenteiliges wird von der Klägerin nicht behauptet und ergibt sich auch nicht aus den Akten. Stattdessen wird aus den eingereichten Unterla- gen aus dem Dezember 2002 ersichtlich (siehe act. 23/62-76), dass die Verwal- tungsratsmitglieder bis zuletzt emsig bemüht waren, die A._____ Holding und den gesamten Konzern zu retten. Die Verrechnungsliberierung erfolgte somit im Zuge einer gross angelegten (letztlich dennoch gescheiterten) Sanierungsaktion. Eine Schädigung der Gläubiger war nicht vorhersehbar, zumal man für den Fall des Scheiterns der Sanierungsbemühungen davon ausging, dass die Drittklassgläubi- ger keine Konkursdividende erwarten dürften. Es ist somit keine Schädigungsab- sicht ersichtlich, weshalb die Konkursverwaltung der A._____ Holding die Verre- chungsliberierung auch nicht gestützt auf Art. 288 SchKG geltend machen kann.</w:t>
      </w:r>
    </w:p>
    <w:p>
      <w:r>
        <w:t>- 64 - 4.8. Schlussfolgerung Im Lichte der vorstehenden Erwägungen erhellt, dass die Klägerin zu Unrecht ei- ne Forderung der A._____ Holding gegenüber der A._____ Trading in der Höhe von CHF 95 Mio. kolloziert hat. Wenn die Forderung nicht als Fremdkapital- Posten in der Bilanz der A._____ Trading Eingang findet, so fällt die Überschul- dung entsprechend tiefer aus, als von der Klägerin geltend gemacht. Vom geltend gemachten Fortführungsschaden ist deshalb der Betrag von CHF 95 Mio. in Ab- zug zu bringen. Es resultiert daraus ein negativer Fortführungsschaden, was nichts anderes bedeutet, als dass die A._____ Trading im Zeitpunkt der Bilanzde- ponierung am 24. Dezember 2002 weniger überschuldet war, als sie es per 31. Dezember 2001 gewesen wäre. Der Vorwurf der Konkursverschleppung verfängt deshalb nebst der fehlenden Pflichtverletzung auch mangels Fortführungsscha- den nicht, weshalb die Klage auch unter diesem Gesichtspunkt abzuweisen ist. 5. Eventualstandpunkt – Schaden in Höhe von CHF 7.721 Mio. 5.1. Parteivorbringen Die Klägerin macht für den Fall, dass die Forderung von CHF 95 Mio. in der Li- quidationsbilanz nicht berücksichtigt werden sollte, eventualiter geltend, dass dennoch ein Fortführungsschaden von CHF 7.721 Mio. entstanden sei. Hierbei stütze sie sich auf den Standpunkt des Beklagten betreffend die Bewertung der Konzernforderungen per Ende 2001. Folglich habe die Überschuldung per 31. Dezember 2001 CHF 177.528 Mio. betragen; am 23. Dezember 2002 habe die Überschuldung CHF 185.249 Mio. betragen. Die Differenz entspreche dem genannten Schaden (act. 34 Rz. 377). Der Beklagte bestreitet die klägerischen Ausführungen als unverständlich und un- sinnig. Wie die Klägerin auf einen Überschuldungswert per 31. Dezember 2001 von CHF 177.528 Mio. komme, sei schleierhaft. Die Klägerin wende unterschied- liche Abschreibungsvarianten an; damit würden sich die beiden Beträge aber gar nicht vergleichen lassen (act. 37 Rz. 561 ff.).</w:t>
      </w:r>
    </w:p>
    <w:p>
      <w:r>
        <w:t>- 65 - 5.2. Subsumption Die Frage, ob die Klägerin bei ihrer Berechnung die richtige Abschreibungsvarian- te wählte, kann mit Blick auf den Kausalzusammenhang offenbleiben. Die Klägerin behauptet, dass die Überschuldung zwischen dem 31. Oktober 2002 und der Bilanzdeponierung um CHF 28.921 Mio. angewachsen sei (act. 34 Rz. 501). Angesichts des Umstands, dass der Beklagte per 31. Oktober 2002 aus dem Verwaltungsrat austrat, ist dieser Betrag von der behaupteten Überschul- dung in Abzug zu bringen. Damit ergibt sich per 31. Dezember 2001 eine Über- schuldung von CHF 177.528 Mio. und per 31. Oktober 2002 eine solche von CHF 156.328 Mio. (CHF 185.249 Mio./. CHF 28.921 Mio.). Die Differenz beträgt - CHF 21.200 Mio., was nichts anderes bedeutet, als dass die Überschuldung um rund CHF 20 Mio. abgenommen hat. Unter diesen Umständen wäre das klägeri- sche Eventualbegehren – selbst bei Vorliegen einer Pflichtverletzung – mangels Schaden abzuweisen. 6. Damit ist die Klage abzuweisen. IV. Kosten- und Entschädigungsfolgen Ausgangsgemäss wird die Klägerin kosten- und entschädigungspflichtig (§§ 64 Abs. 2 und 68 Abs. 1 ZPO/ZH). Dabei ist der anwaltlichen Vertretung der Beklag- ten unter Berücksichtigung von § 25 der Verordnung über die Anwaltsgebühren vom 8. September 2010 und somit gestützt auf § 2 Abs. 2 in Verbindung mit § 3 Abs. 1 aAnwGebV angemessen Rechnung zu tragen. Der Beklagte stellt einen Antrag auf Ersatz der Mehrwertsteuer. Wird Ersatz der Mehrwertsteuer verlangt und von der Gegenpartei – wie vorliegend – nicht bestritten, ist dieser ohne weite- res zuzusprechen. Per 1. Januar 2011 wurde der Mehrwertsteuersatz von 7.6% auf 8% erhöht. Massgebend für den anzuwendenden Steuersatz ist der Zeitpunkt resp. der Zeitraum der Leistungserbringung (Kreisschreiben der Verwaltungs- kommission des Obergerichts des Kantons Zürich vom 17. Mai 2006 sowie die</w:t>
      </w:r>
    </w:p>
    <w:p>
      <w:r>
        <w:t>- 66 - dazugehörige Ergänzung vom 17. September 2010). Vorliegend erscheint eine Prozessentschädigung von 140% der ordentlichen Gebühr als angemessen, wo- bei 100% auf die Zeit vor dem 1. Januar 2011 anfallen. Der Streitwert beträgt CHF 30 Mio.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