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HE250102 vom 11. Dezember 2025</w:t>
      </w:r>
    </w:p>
    <w:p>
      <w:r>
        <w:t>Zh Handelsgericht, 2025-12-11, DE</w:t>
      </w:r>
    </w:p>
    <w:p>
      <w:r>
        <w:rPr>
          <w:b/>
        </w:rPr>
        <w:t xml:space="preserve">Quelle: </w:t>
      </w:r>
      <w:r>
        <w:t>https://mcp.opencaselaw.ch/entscheid/zh_handelsgericht_HE250102</w:t>
      </w:r>
    </w:p>
    <w:p>
      <w:r>
        <w:t>FR: ZH_HANDELSGERICHT HE250102 du 11 décembre 2025</w:t>
      </w:r>
    </w:p>
    <w:p>
      <w:r>
        <w:t>IT: ZH_HANDELSGERICHT HE250102 del 11 dicembre 2025</w:t>
      </w:r>
    </w:p>
    <w:p>
      <w:pPr>
        <w:pStyle w:val="Heading2"/>
      </w:pPr>
      <w:r>
        <w:t>Erwägungen</w:t>
      </w:r>
    </w:p>
    <w:p>
      <w:r>
        <w:rPr>
          <w:b/>
        </w:rPr>
        <w:t>E. 3</w:t>
      </w:r>
    </w:p>
    <w:p>
      <w:r>
        <w:t>Formelles Die internationale und örtliche Zuständigkeit stützt sich auf Art. 5 Abs. 1 Ziff. 3 LugÜ. Die sachliche Zuständigkeit ergibt sich aus § 45 lit. b GOG i.V.m. Art. 5 Abs. 1 lit. d und Abs. 2 ZPO. Die Gesuchstellerin beziffert den Streitwert mit CHF 100'000.00 (act. 1 Rz. 16), was seitens der Gesuchsgegnerin unbestritten ge- blieben ist. Die Prozessvoraussetzungen sind gegeben (Art. 59 Abs. 1 ZPO).</w:t>
      </w:r>
    </w:p>
    <w:p>
      <w:r>
        <w:rPr>
          <w:b/>
        </w:rPr>
        <w:t>E. 4</w:t>
      </w:r>
    </w:p>
    <w:p>
      <w:r>
        <w:t>Materielles Gemäss Art. 2 UWG ist unlauter und widerrechtlich "jedes täuschende oder in an- derer Weise gegen den Grundsatz von Treu und Glauben verstossende Verhalten oder Geschäftsgebaren, welches das Verhältnis zwischen Mitbewerbern oder zwi- schen Anbietern und Abnehmern beeinflusst". Unlauter handelt insbesondere, wer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 (Art. 3 lit. b UWG) oder "sich, seine Waren, Werke, Leistungen oder deren Preise in unrichtiger, irre- führender, unnötig herabsetzender oder anlehnender Weise mit anderen, ihren Wa- ren, Werken, Leistungen oder deren Preisen vergleicht oder in entsprechender Weise Dritte im Wettbewerb begünstigt" (Art. 3 lit. e UWG).</w:t>
      </w:r>
    </w:p>
    <w:p>
      <w:r>
        <w:rPr>
          <w:b/>
        </w:rPr>
        <w:t>E. 4.1</w:t>
      </w:r>
    </w:p>
    <w:p>
      <w:r>
        <w:t>Unter die Bestimmungen des Lauterkeitsrechts fällt namentlich die Durch- führung von Waren- und Dienstleistungstests. Den Tatbestand der unzulässigen</w:t>
      </w:r>
    </w:p>
    <w:p>
      <w:r>
        <w:t>- 7 - vergleichenden Werbung können auch Nicht-Mitbewerber erfüllen (DEMIAN STAU- BER/MARIA ISKIC, in: UWG, Bundesgesetz gegen den unlauteren Wettbewerb, Kom- mentar, hrsg. von Reto Heizmann/Leader D. Loacker, 2. Aufl. 2025, N. 106 zu Art. 3 Abs. 1 lit. e UWG). Die vergleichende Werbung ist lauterkeitsrechtlich zulässig, wenn der Vergleich objektiv, wahrheitsgemäss und wirklichkeitsgetreu erfolgt (BGE 129 III 426 E. 3.1.1 S. 434 = Pra 93 [2004] Nr. 54).</w:t>
      </w:r>
    </w:p>
    <w:p>
      <w:r>
        <w:rPr>
          <w:b/>
        </w:rPr>
        <w:t>E. 4.1.1</w:t>
      </w:r>
    </w:p>
    <w:p>
      <w:r>
        <w:t>Bei der Gesuchsgegnerin handelt es sich weder um die Halterin noch um die gemäss Impressum für den Inhalt der Webseite zuständige Person (act. 22 Rz. 8). Eine entsprechende Behauptung stellt die Gesuchstellerin nicht auf. Die Handlung der Gesuchsgegnerin beschränkt sich auf die Schaltung von Werbung über Goo- gle-Ads durch Verweisung auf den streitgegenständlichen Warentest. Die Gesuch- stellerin vermag darüber hinaus nicht glaubhaft zu machen, dass es der Gesuchs- gegnerin selber möglich wäre, die Inhalte auf der Webseite zu verändern.</w:t>
      </w:r>
    </w:p>
    <w:p>
      <w:r>
        <w:rPr>
          <w:b/>
        </w:rPr>
        <w:t>E. 4.1.2</w:t>
      </w:r>
    </w:p>
    <w:p>
      <w:r>
        <w:t>Nach dem Grundsatz der rechtlichen Selbständigkeit ist die formalrechtliche Selbständigkeit der juristischen Person zu achten und darf nur ausnahmsweise "un- beachtet bleiben, wo der Grundsatz von Treu und Glauben im Geschäftsverkehr dies erfordert, oder wo die Berufung auf die Verschiedenheit der Rechtssubjekte einem Rechtsmissbrauch oder einer offensichtlichen Verletzung legitimer Interes- sen gleichkommt" (BGE 151 III 361 E. 5.4.3.2.1 S. 368-369). Ansprüche aus dem Betrieb der Webseite sind an die ausgewiesene Halterschaft zu richten. Eine Rechtsverfolgung ist damit möglich. Ein Anwendungsfall für die Durchgriffshaftung liegt nicht vor. Es kann deshalb offenbleiben, in welcher Beziehung die Gesuchs- gegnerin zur Betreiberin bzw. Halterin der Webseite steht.</w:t>
      </w:r>
    </w:p>
    <w:p>
      <w:r>
        <w:rPr>
          <w:b/>
        </w:rPr>
        <w:t>E. 4.1.3</w:t>
      </w:r>
    </w:p>
    <w:p>
      <w:r>
        <w:t>Der Gesuchsgegnerin fehlt die Passivlegitimation.</w:t>
      </w:r>
    </w:p>
    <w:p>
      <w:r>
        <w:rPr>
          <w:b/>
        </w:rPr>
        <w:t>E. 4.2</w:t>
      </w:r>
    </w:p>
    <w:p>
      <w:r>
        <w:t>Unter die vergleichende Werbung fällt auch die Verwendung des Ergebnis- ses eines Vergleichstests (STAUBER/ISKIC, a.a.O., N. 98 zu Art. 3 Abs. 1 lit. e UWG). Der Verwender eines Tests ist für die Wahrheitsmässigkeit und Wirklichkeitsge- treue verantwortlich (BGE 129 III 426 E. 3.1.3 S. 436-437 = Pra 93 [2004] Nr. 54).</w:t>
      </w:r>
    </w:p>
    <w:p>
      <w:r>
        <w:t>- 8 - Die Gesuchstellerin verlangt mit ihrem Rechtsbegehren die Entfernung des Waren- tests, eventualiter die Entfernung des Produktes der Gesuchstellerin aus dem Wa- rentest (act. 1 Rz. 4). In diesem Sinne unterscheidet sich das vorliegende Rechts- begehren vom Tenor des Beschlusses des Landgericht Düsseldorf vom 31. Okto- ber 2025 in dem einstweiligen Verfügungsverfahren 34 O 85/25, in welchem die Inbezugnahme auf die (deutsche) URL lediglich zu Referenzzwecken erfolgt (act. 28/38). Zwischen dem Rechtsspruch und dem Rechtsbegehren besteht eine korrespondie- rende Beziehung. Das Rechtsbegehren muss "so bestimmt formuliert sein, dass es bei Gutheissung der Klage zum Urteil erhoben werden kann" (BGE 148 III 322 E. 3.2 S. 325-326). Gemäss Art. 58 Abs. 1 ZPO darf das Gericht einer Partei nichts anderes zusprechen, als sie verlangt (Dispositionsgrundsatz). Das Gericht darf demnach nicht von Amtes wegen alternative Rechtsfolgen anordnen (BGE 147 III 505 E. 7 S. 516). Dem Einzelgericht ist verwehrt, auf die werbemässige Verwendung des Ergebnis- ses des streitgegenständlichen Vergleichstests zu erkennen.</w:t>
      </w:r>
    </w:p>
    <w:p>
      <w:r>
        <w:rPr>
          <w:b/>
        </w:rPr>
        <w:t>E. 4.3</w:t>
      </w:r>
    </w:p>
    <w:p>
      <w:r>
        <w:t>Im Ergebnis ist das Gesuch abzuweisen. Eine eingehende Prüfung der Lau- terkeit hat somit zu unterbleiben.</w:t>
      </w:r>
    </w:p>
    <w:p>
      <w:r>
        <w:rPr>
          <w:b/>
        </w:rPr>
        <w:t>E. 5</w:t>
      </w:r>
    </w:p>
    <w:p>
      <w:r>
        <w:t>Kosten- und Entschädigungsfolgen</w:t>
      </w:r>
    </w:p>
    <w:p>
      <w:r>
        <w:rPr>
          <w:b/>
        </w:rPr>
        <w:t>E. 5.1</w:t>
      </w:r>
    </w:p>
    <w:p>
      <w:r>
        <w:t>Die Höhe der Gerichtsgebühr wird nach der Gebührenverordnung des Ober- gerichts vom 8. September 2010 bestimmt (Art. 96 ZPO i.V.m. § 199 Abs. 1 GOG) und richtet sich in erster Linie nach dem Streitwert bzw. nach dem tatsächlichen Streitinteresse (§ 2 Abs. 1 lit. a GebV OG). Beim vorliegenden Streitwert von CHF 100'000.00 beträgt die nach § 4 Abs. 1 GebV OG bestimmte einfache Grund- gebühr CHF 8'750.00. In Anwendung von § 8 Abs. 1 GebV OG ist diese auf rund die Hälfte zu reduzieren. Die Gerichtsgebühr ist auf CHF 4'400.00 festzusetzen. Allfällige noch nicht in Rechnung gestellte weitere Kosten bleiben vorbehalten. Aus- gangsgemäss sind die Kosten der Gesuchstellerin aufzuerlegen (Art. 106 Abs. 1 Satz 1 ZPO). Sie sind vorab aus dem von ihr geleisteten Kostenvorschuss zu de-</w:t>
      </w:r>
    </w:p>
    <w:p>
      <w:r>
        <w:t>- 9 - cken (Art. 11 Abs. 1 Satz 1 ZPO). Der Fehlbetrag ist nachzufordern (Art. 111 Abs. 1 Satz 3 ZPO).</w:t>
      </w:r>
    </w:p>
    <w:p>
      <w:r>
        <w:rPr>
          <w:b/>
        </w:rPr>
        <w:t>E. 5.2</w:t>
      </w:r>
    </w:p>
    <w:p>
      <w:r>
        <w:t>Die Gesuchstellerin wird entschädigungspflichtig (Art. 106 Abs. 1 Satz 1 ZPO). Bei berufsmässig vertretenen Parteien bestimmt sich die Höhe der Parteien- tschädigung nach der Verordnung über die Anwaltsgebühren vom 8. September 2010 (AnwGebV; Art. 95 Abs. 3 lit. b und 96 ZPO i.V.m. § 48 Abs. 1 lit. c und Abs. 2 des Anwaltsgesetzes vom 17. November 2003). Sie richtet sich in erster Linie nach dem Streitwert (§ 2 Abs. 1 lit. a AnwGebV). Die nach § 4 Abs. 1 AnwGebV be- stimmte ordentliche Anwaltsgebühr beträgt CHF 10'900.00. In Anwendung von § 9 AnwGebV OG ist diese auf rund zwei Fünftel zu reduzieren. Da die Gesuchsgeg- nerin ihren Sitz im Ausland hat, ist kein Mehrwertsteuerzusatz zuzusprechen (Kreisschreiben der Verwaltungskommission des Obergerichts vom 17. Mai 2006 Ziffer 2.1.1 S. 3 Punkt 5; abrufbar unter &lt;https://www.gerichte-zh.ch/kreisschrei- ben/kreisschreiben.html&gt;). Die Gesuchstellerin ist zu verpflichten, der Gesuchs- gegnerin eine Parteientschädigung von CHF 4'400.00 zu bezahlen.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