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ZH_HANDELSGERICHT HE250050 vom 24. Juni 2025</w:t>
      </w:r>
    </w:p>
    <w:p>
      <w:r>
        <w:t>Zh Handelsgericht, 2025-06-24, DE</w:t>
      </w:r>
    </w:p>
    <w:p>
      <w:r>
        <w:rPr>
          <w:b/>
        </w:rPr>
        <w:t xml:space="preserve">Quelle: </w:t>
      </w:r>
      <w:r>
        <w:t>https://mcp.opencaselaw.ch/entscheid/zh_handelsgericht_HE250050</w:t>
      </w:r>
    </w:p>
    <w:p>
      <w:r>
        <w:t>FR: ZH_HANDELSGERICHT HE250050 du 24 juin 2025</w:t>
      </w:r>
    </w:p>
    <w:p>
      <w:r>
        <w:t>IT: ZH_HANDELSGERICHT HE250050 del 24 giugno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2. Juni 2025 (act. 1, act. 3; act. 4/1–13), die dem Handels- gericht vom Bezirksgericht Bülach weitergeleitet wurde (act. 2), stellte die Gesuch- stellerin obgenanntes Gesuch um vorläufige Eintragung eines Bauhandwerker- pfandrechts. Mit Verfügung vom 5. Juni 2025 wurde der Gesuchstellerin Frist zur Verbesserung des Gesuchs angesetzt (act. 5). Innert Frist liess sich die Gesuch- stellerin nicht vernehmen , weshalb androhungsgemäss aufgrund der Akten zu ent- scheiden ist. Auf die Einholung einer Stellungnahme der Gesuchsgegnerin ist zu verzichten, da sich das Gesuch als unbegründet erweist (Art. 253 ZPO).</w:t>
      </w:r>
    </w:p>
    <w:p>
      <w:r>
        <w:rPr>
          <w:b/>
        </w:rPr>
        <w:t>E. 2</w:t>
      </w:r>
    </w:p>
    <w:p>
      <w:r>
        <w:t>Die Gesuchstellerin beantragt die Eintragung eines Pfandrechts auf der Lie- genschaft Kat. Nr. 1 in E._____. Aus der eingereichten Eigentümerauskunft ergibt sich, dass an diesem Grundstück Stockwerkeigentum begründet wurde (act. 4/7). Gemäss telefonischer Auskunft des Grundbuchamts C._____ sind die Stockwerk- eigentumsgrundstücke bereits mit Pfandrechten belastet (Prot. S. 2). Eine Belas- tung des Stammgrundstücks ist daher nicht mehr möglich (Art. 648 Abs. 3 ZGB) und die Pfandsumme wäre vielmehr auf die einzelnen Stockwerkeigentumseinhei- ten aufzuteilen (vgl. BGE 146 III 7 E. 2.1.3 = Pra 109 Nr. 99). Eine solche Aufteilung hat die Gesuchstellerin auch innert angesetzter Nachfrist nicht vorgenommen. Das Gesuch um vorläufige Eintragung eines Bauhandwerkerpfandrechts ist daher ab- zuweisen.</w:t>
      </w:r>
    </w:p>
    <w:p>
      <w:r>
        <w:rPr>
          <w:b/>
        </w:rPr>
        <w:t>E. 3</w:t>
      </w:r>
    </w:p>
    <w:p>
      <w:r>
        <w:t>Ausgangsgemäss sind die Kosten der Gesuchstellerin aufzuerlegen (Art. 106 ZPO). Gestützt auf den Streitwert von CHF 587'261.65 ist die Gerichtsgebühr in Anwendung von § 4 Abs. 1 und 2 sowie § 8 Abs. 1 GebV OG auf CHF 1'000.–</w:t>
      </w:r>
    </w:p>
    <w:p>
      <w:r>
        <w:t>- 3 - festzusetzen. Mangels Umtrieben ist der Gesuchsgegnerin keine Parteientschädi- gung zuzusprechen. Das Einzelgericht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