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HE240182 vom 28. Januar 2025</w:t>
      </w:r>
    </w:p>
    <w:p>
      <w:r>
        <w:t>Zh Handelsgericht, 2025-01-28, DE</w:t>
      </w:r>
    </w:p>
    <w:p>
      <w:r>
        <w:rPr>
          <w:b/>
        </w:rPr>
        <w:t xml:space="preserve">Quelle: </w:t>
      </w:r>
      <w:r>
        <w:t>https://mcp.opencaselaw.ch/entscheid/zh_handelsgericht_HE240182</w:t>
      </w:r>
    </w:p>
    <w:p>
      <w:r>
        <w:t>FR: ZH_HANDELSGERICHT HE240182 du 28 janvier 2025</w:t>
      </w:r>
    </w:p>
    <w:p>
      <w:r>
        <w:t>IT: ZH_HANDELSGERICHT HE240182 del 28 gennaio 2025</w:t>
      </w:r>
    </w:p>
    <w:p>
      <w:pPr>
        <w:pStyle w:val="Heading2"/>
      </w:pPr>
      <w:r>
        <w:t>Erwägungen</w:t>
      </w:r>
    </w:p>
    <w:p>
      <w:r>
        <w:rPr>
          <w:b/>
        </w:rPr>
        <w:t>E. 1</w:t>
      </w:r>
    </w:p>
    <w:p>
      <w:r>
        <w:t>Prozessverlauf Die Gesuchstellerin ersuchte mit Eingabe vom 14. November 2024 um superprovi- sorische Eintragung eines Bauhandwerkerpfandrechts auf dem Grundstück der Gesuchsgegnerin (act. 1). Dem Gesuch wurde mit Verfügung vom 14. November 2024 entsprochen und das Grundbuchamt E._____ einstweilen angewiesen, das verlangte Pfandrecht vorläufig im Grundbuch einzutragen. Gleichzeitig wurde der Gesuchsgegnerin Frist angesetzt, um zum Gesuch Stellung zu nehmen (act. 5). Am 19. Dezember 2024 stellte die C._____ AG, D._____ ein Gesuch um Zulassung als Nebenintervenientin (act. 10). Mit Eingabe vom gleichen Tag erstattete die Ge- suchsgegnerin ihre Gesuchsantwort (act. 11). Mit Verfügung vom 20. Dezember 2024 wurde den Parteien Gelegenheit gegeben, zum Interventionsgesuch Stellung</w:t>
      </w:r>
    </w:p>
    <w:p>
      <w:r>
        <w:t>- 3 - zu nehmen (act. 13). Nachdem sich die Parteien mit Eingaben 6. Januar 2025 und vom 13. Januar 2025 zum Interventionsgesuch vernehmen liessen (act. 15; act. 17), wurde die C._____ AG, D._____ mit Verfügung vom 15. Januar 2025 als Nebenintervenientin zugelassen. Zugleich wurde der Gesuchstellerin Frist zur Stel- lungnahme zur von der Nebenintervenientin angebotenen Sicherheit angesetzt und der Nebenintervenientin die Möglichkeit eingeräumt, die angebotene Sicherheit bei der Obergerichtskasse zu leisten (act. 20). Am 23. Januar 2025 ging bei der Ober- gerichtskasse eine Sicherheitsleistung der Nebenintervenientin in der Höhe von CHF 259'716.30 ein (act. 22). Mit Eingabe vom 27. Januar 2025 reichte die Ge- suchstellerin eine Stellungnahme zur angebotenen Sicherheitsleistung ein (act. 23). Das Verfahren erweist sich als spruchreif.</w:t>
      </w:r>
    </w:p>
    <w:p>
      <w:r>
        <w:rPr>
          <w:b/>
        </w:rPr>
        <w:t>E. 2</w:t>
      </w:r>
    </w:p>
    <w:p>
      <w:r>
        <w:t>Voraussetzungen zur Eintragung eines Bauhandwerkerpfandrechts</w:t>
      </w:r>
    </w:p>
    <w:p>
      <w:r>
        <w:rPr>
          <w:b/>
        </w:rPr>
        <w:t>E. 2.1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Grundstückes, auch wenn die Leistungen nicht in seinem Auftrag erbracht worden sind. Die Eintragung ins Grundbuch hat bis spätestens vier Monate nach der Voll- endung der Arbeiten zu erfolgen (Art. 839 Abs. 2 ZGB). Geht es lediglich um die vorläufige Eintragung des Pfandrechts, so muss die Gesuchstellerin ihr Gesuch nur glaubhaft machen (statt vieler: BGE 112 Ib 482 E. 2.b S. 484).</w:t>
      </w:r>
    </w:p>
    <w:p>
      <w:r>
        <w:rPr>
          <w:b/>
        </w:rPr>
        <w:t>E. 2.2</w:t>
      </w:r>
    </w:p>
    <w:p>
      <w:r>
        <w:t>Die Gesuchsgegnerin und die Nebenintervenientin stellen bloss pauschal in Abrede, dass die Voraussetzungen für die Eintragung eines Bauhandwerkerpfand- rechts erfüllt sind und bestreiten die Sachdarstellung der Gesuchstellerin pauschal mit Nichtwissen (act. 10 S. 3 f.; act. 11 S. 2.).</w:t>
      </w:r>
    </w:p>
    <w:p>
      <w:r>
        <w:rPr>
          <w:b/>
        </w:rPr>
        <w:t>E. 2.3</w:t>
      </w:r>
    </w:p>
    <w:p>
      <w:r>
        <w:t>Entsprechend gelten die Behauptungen der Gesuchstellerin mangels sub- stantiierter Bestreitungen als unbestritten. Gestützt auf diese Ausführungen ist glaubhaft, dass die Gesuchstellerin basierend auf einem mit der F._____ AG abge-</w:t>
      </w:r>
    </w:p>
    <w:p>
      <w:r>
        <w:t>- 4 - schlossenen Werkvertrag Fallrohre, Trennwand Rahmen, Beplankungen, Geländer und Handläufe auf dem Grundstück der Gesuchsgegnerin montiert hat, und eine Forderung in der Höhe der eingetragenen Pfandsumme bisher unbezahlt geblieben ist (act. 1 Rz. 5 ff.). Glaubhaft ist weiter, dass die Gesuchstellerin die letzten Arbei- ten am 16. Juli 2024 ausgeführt hat. Damit wurde die Viermonatsfrist gemäss Art. 839 Abs. 2 ZGB mit der vorläufigen Eintragung am 14. November 2024 ge- wahrt (act. 1 Rz. 9). Demnach sind die Voraussetzungen zur vorläufigen Eintragung eines Bauhandwerkerpfandrechts erfüllt.</w:t>
      </w:r>
    </w:p>
    <w:p>
      <w:r>
        <w:rPr>
          <w:b/>
        </w:rPr>
        <w:t>E. 3</w:t>
      </w:r>
    </w:p>
    <w:p>
      <w:r>
        <w:t>Leistung einer hinreichenden Sicherheit</w:t>
      </w:r>
    </w:p>
    <w:p>
      <w:r>
        <w:rPr>
          <w:b/>
        </w:rPr>
        <w:t>E. 3.1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RAI- NER SCHUMACHER/PASCAL REY, Das Bauhandwerkerpfandrecht, 4. Aufl. 2022, N. 1314 f.). Die Sicherheit wird vom Gericht indessen nur hinsichtlich substantiierter Einwände geprüft (SCHUMACHER/REY, a.a.O., N. 1301). Inhaltlich ist die Sicherheit dann hinreichend, wenn sie die Forderung voll und ganz sichert. Die Vergütungs- forderung umfasst in der Regel einen Kapitalbetrag und Verzugszinsen. Letztere sind ohne zeitliche Beschränkung pfandberechtigt (SCHUMACHER/REY, a.a.O., N. 1254 ff.).</w:t>
      </w:r>
    </w:p>
    <w:p>
      <w:r>
        <w:rPr>
          <w:b/>
        </w:rPr>
        <w:t>E. 3.2</w:t>
      </w:r>
    </w:p>
    <w:p>
      <w:r>
        <w:t>Die Nebenintervenientin hat zur Ablösung des vorläufig im Grundbuch ein- getragenen Pandrechts bei der Obergerichtskasse eine Barsicherheit in der Höhe von CHF 259'716.30 hinterlegt (act. 10; act. 22). Die Gesuchstellerin teilte mit Ein- gabe vom 27. Januar 2025 mit, sie erachte diese Sicherheit als hinreichend (act. 23 Rz. 4 f.). Es ist demnach festzustellen, dass die von der Nebenintervenientin bei der Obergerichtskasse geleistete Barsicherheit hinreichend im Sinne von Art. 839 Abs. 3 ZGB ist.</w:t>
      </w:r>
    </w:p>
    <w:p>
      <w:r>
        <w:t>- 5 -</w:t>
      </w:r>
    </w:p>
    <w:p>
      <w:r>
        <w:rPr>
          <w:b/>
        </w:rPr>
        <w:t>E. 3.3</w:t>
      </w:r>
    </w:p>
    <w:p>
      <w:r>
        <w:t>Damit ist die Löschung des mit Verfügung vom 14. November 2024 vorläufig eingetragenen Bauhandwerkerpfandrechts anzuordnen. Demgemäss ist das Grundbuchamt E._____ anzuweisen, das vorläufig eingetragene Bauhandwerker- pfandrecht – nach unbenutztem Ablauf der Rechtsmittelfrist – zu löschen.</w:t>
      </w:r>
    </w:p>
    <w:p>
      <w:r>
        <w:rPr>
          <w:b/>
        </w:rPr>
        <w:t>E. 4</w:t>
      </w:r>
    </w:p>
    <w:p>
      <w:r>
        <w:t>Folgen der Sicherheitsleistung</w:t>
      </w:r>
    </w:p>
    <w:p>
      <w:r>
        <w:rPr>
          <w:b/>
        </w:rPr>
        <w:t>E. 4.1</w:t>
      </w:r>
    </w:p>
    <w:p>
      <w:r>
        <w:t>Mit Leistung einer hinreichenden Sicherheit wird der Streit nur dann beendet, wenn die Sicherheit definitiv bestellt wird. Die Gesuchsgegnerin und die Nebenin- tervenientin bestreiten das Vorliegen der Voraussetzungen für die Eintragung und behalten sich die Erhebung sämtlicher Einreden und Einwendungen im weiteren Prozess vor (act. 10 S. 3 f.; act. 11 S. 2). Entsprechend handelt es sich bei der von der Nebenintervenientin geleisteten Barsicherheit um eine provisorische Sicherheit (vgl. SCHUMACHER/REY, a.a.O., N. 1287). Demgemäss ist der Gesuchstellerin Frist anzusetzen, um beim örtlich und sachlich zuständigen Gericht auf definitive Bestel- lung der Sicherheit zu klagen. Die Beurteilung, gegen wen die Gesuchstellerin ihre Klage einzureichen hat, liegt in ihrer eigenen Verantwortung.</w:t>
      </w:r>
    </w:p>
    <w:p>
      <w:r>
        <w:rPr>
          <w:b/>
        </w:rPr>
        <w:t>E. 4.2</w:t>
      </w:r>
    </w:p>
    <w:p>
      <w:r>
        <w:t>Die Prosequierungsfrist ist – praxisgemäss – auf 60 Tage festzulegen. Eine längere Frist ist vorliegend nicht angezeigt. Allfällige Gerichtsferien sind nach der bundesgerichtlichen Rechtsprechung nicht zu berücksichtigen (Urteil 5A_82/2016 des Bundesgerichts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 den nur entweder die Zustimmung der Gegenpartei oder von der Partei nicht vor- hersehbare oder nicht beeinflussbare Hinderungsgründe anerkannt.</w:t>
      </w:r>
    </w:p>
    <w:p>
      <w:r>
        <w:rPr>
          <w:b/>
        </w:rPr>
        <w:t>E. 4.3</w:t>
      </w:r>
    </w:p>
    <w:p>
      <w:r>
        <w:t>Die Obergerichtskasse des Kantons Zürich ist anzuweisen, die von der Ne- benintervenientin geleistete Barkaution als Sicherheit im Sinne von Art. 839 Abs. 3 ZGB entgegen zu nehmen. Weiter ist die Obergerichtskasse darauf hinzuweisen, dass diese Sicherheit nur aufgrund einer ausdrücklichen gerichtlichen Anordnung ausbezahlt werden darf (§ 17 Verordnung des Obergerichts über die Verwaltung von Depositen, Kautionen und Effekten). Für die Modalitäten der Inanspruchnahme</w:t>
      </w:r>
    </w:p>
    <w:p>
      <w:r>
        <w:t>- 6 - sind die Parteien darauf hinzuweisen, dass diese entsprechend den Anforderungen an die Inanspruchnahme eines im Grundbuch eingetragenen Bauhandwerker- pfandrechts gestalten wird. In Analogie zu diesen ist mit einer Auszahlung an die Gesuchstellerin bei Vorliegen eines rechtskräftigen Zahlungsbefehls für die gesi- cherte Hauptforderung oder eines übereinstimmenden Antrags der Parteien über die Verwendung der Sicherheit zu rechnen. Im Übrigen ist festzuhalten, dass, sollte die Gesuchstellerin die Klage auf definitive Bestellung der Sicherheit nachgewiese- nermassen nicht innert Prosequierungsfrist einreichen, Verzicht auf die Sicherheit angenommen wird und die Nebenintervenientin beim Einzelgericht des Handelsge- richts des Kantons Zürich die Auszahlung der geleisteten Barsicherheit verlangen kann.</w:t>
      </w:r>
    </w:p>
    <w:p>
      <w:r>
        <w:rPr>
          <w:b/>
        </w:rPr>
        <w:t>E. 5</w:t>
      </w:r>
    </w:p>
    <w:p>
      <w:r>
        <w:t>Die Gerichtsgebühr wird festgesetzt auf CHF 3'000.‒. Weitere Kosten (insbe- sondere Rechnung des Grundbuchamtes) bleiben vorbehalten.</w:t>
      </w:r>
    </w:p>
    <w:p>
      <w:r>
        <w:rPr>
          <w:b/>
        </w:rPr>
        <w:t>E. 5.1</w:t>
      </w:r>
    </w:p>
    <w:p>
      <w:r>
        <w:t>Ausgehend von einem Streitwert von CHF 173'144.20 ist die Gerichtsgebühr in Anwendung von § 4 Abs. 1 und 2 sowie § 8 Abs. 1 der Gebührenverordnung des Obergerichts (GebV OG) auf CHF 3'000.– festzusetzen. Allfällige weitere Kosten (insbesondere die Rechnung des Grundbuchamtes) sind vorzubehalten.</w:t>
      </w:r>
    </w:p>
    <w:p>
      <w:r>
        <w:rPr>
          <w:b/>
        </w:rPr>
        <w:t>E. 5.2</w:t>
      </w:r>
    </w:p>
    <w:p>
      <w:r>
        <w:t>Über den Pfand- bzw. Sicherstellungsanspruch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betreffend die vorläufige Eintragung des Bauhandwerkerpfandrechts von der Gesuchstellerin zu beziehen, wobei der endgültige Entscheid des Gerichts im ordentlichen Verfahren vorbehalten bleibt.</w:t>
      </w:r>
    </w:p>
    <w:p>
      <w:r>
        <w:rPr>
          <w:b/>
        </w:rPr>
        <w:t>E. 5.3</w:t>
      </w:r>
    </w:p>
    <w:p>
      <w:r>
        <w:t>Auch der Entscheid betreffend die Entschädigungsfolgen ist dem ordentli- chen Verfahren vorzubehalten. Versäumt es die Gesuchstellerin, ihren Anspruch innert Frist zu prosequieren, gilt was folgt: Sowohl Gesuchsgegnerin als auch die Nebenintervenientin haben die Zuspre- chung einer Parteientschädigung beantragt (act. 10 S. 2; act. 11 S. 2).</w:t>
      </w:r>
    </w:p>
    <w:p>
      <w:r>
        <w:t>- 7 - Als nicht anwaltlich vertretene Partei hat die Gesuchsgegnerin Anspruch auf den Ersatz notwendiger Auslagen und in begründeten Fällen auf eine angemessene Umtriebsentschädigung (Art. 95 Abs. 3 lit. a und c ZPO). Mangels Darlegung sol- cher Auslagen bzw. besonderer Gründe ist ihr indessen keine Umtriebsentschädi- gung zuzusprechen (Urteil 5A_695/2020 des Bundesgerichts vom 26. April 2021, E. 5.1 m.w.H.). Eine Nebenpartei nimmt regelmässig Interessen aus einem Rechtsverhältnis zwi- schen der unterstützten Hauptpartei und der Nebenpartei wahr, an welchem die gegnerische Hauptpartei nicht beteiligt ist, weshalb sich die Zusprechung einer Par- teientschädigung an die Nebenpartei nur ausnahmsweise aus Gründen der Billig- keit rechtfertigt (BGE 130 III 571 E. 6 S. 578). Die Nebenintervenientin hat keine solchen Umstände dargelegt, weshalb ihr keine Parteientschädigung zuzuspre- chen ist. Das Einzelgericht erkennt: 1. Es wird festgestellt, dass die Nebenintervenientin mit der bei der Oberge- richtskasse des Kantons Zürich geleisteten Barkaution in der Höhe von CHF 259'716.30 eine hinreichende Sicherheit für die von der Gesuchstellerin zur Eintragung eines Bauhandwerkerpfandrechts angemeldete Forderung ge- leistet hat. 2. Das Grundbuchamt E._____ wird angewiesen, das aufgrund der Verfügung des Einzelgerichts des Handelsgerichts des Kantons Zürich vom 14. Novem- ber 2024 vorläufig eingetragene Bauhandwerkerpfandrecht ‒ nach unbenutz- tem Ablauf der Rechtsmittelfrist ‒ vollumfänglich zu löschen auf Liegenschaft Kat. Nr. 1, GBBl. 3, EGRID CH 2, für eine Pfandsumme von CHF 173'144.20 nebst Zins zu 5 % auf CHF 46'359.45 seit 19. Januar 2024;  CHF 11'373.10 seit 29. Januar 2024; </w:t>
      </w:r>
    </w:p>
    <w:p>
      <w:r>
        <w:t>- 8 - CHF 20'429.55 seit 25. Februar 2024;  CHF 15'712.35 seit 14. März 2024;  CHF 14'090.85 seit 12. April 2024;  CHF 55'666.10 seit 13. Juni 2024 und;  CHF 9'512.80 seit 19. September 2024.  3. Die Obergerichtskasse des Kantons Zürich wird angewiesen, die von der Ne- benintervenientin geleistete Barkaution als Sicherheit im Sinne von Art. 839 Abs. 3 ZGB entgegen zu nehmen und nur auf ausdrückliche gerichtliche An- ordnung hin bar auszubezahlen. 4. Der Gesuchstellerin wird eine Frist bis 31. März 2025 angesetzt, um beim zu- ständigen Gericht eine Klage auf definitive Bestellung der Sicherheit anzuhe- ben, unter der Anordnung, dass sonst Verzicht auf die Sicherstellung ange- nommen wird und die Nebenintervenientin beim Einzelgericht des Handels- gerichts des Kantons Zürich die Herausgabe der Sicherheit verlangen kann.</w:t>
      </w:r>
    </w:p>
    <w:p>
      <w:r>
        <w:rPr>
          <w:b/>
        </w:rPr>
        <w:t>E. 6</w:t>
      </w:r>
    </w:p>
    <w:p>
      <w:r>
        <w:t>Die Kosten werden von der Gesuchstellerin bezogen. Vorbehalten bleibt der endgültige Entscheid des Gerichts im nachfolgenden ordentlichen Verfahren gemäss Dispositiv Ziff. 4. Für den Fall, dass die Gesuchstellerin innert Frist gemäss Dispositiv-Ziff. 4 die Klage nicht anhängig macht, werden ihr die Kos- ten definitiv auferlegt.</w:t>
      </w:r>
    </w:p>
    <w:p>
      <w:r>
        <w:rPr>
          <w:b/>
        </w:rPr>
        <w:t>E. 7</w:t>
      </w:r>
    </w:p>
    <w:p>
      <w:r>
        <w:t>Die Regelung der Entschädigungsfolgen wird dem Gericht im nachfolgenden ordentlichen Verfahren vorbehalten. Versäumt die Gesuchstellerin jedoch die ihr in Dispositiv-Ziff. 4 angesetzte Frist zur Anhebung der Klage, wird weder der Gesuchsgegnerin noch der Nebenintervenientin eine Parteientschädi- gung zugesprochen.</w:t>
      </w:r>
    </w:p>
    <w:p>
      <w:r>
        <w:t>- 9 -</w:t>
      </w:r>
    </w:p>
    <w:p>
      <w:r>
        <w:rPr>
          <w:b/>
        </w:rPr>
        <w:t>E. 8</w:t>
      </w:r>
    </w:p>
    <w:p>
      <w:r>
        <w:t>Schriftliche Mitteilung an die Parteien sowie an die Nebenintervenientin, an die Gesuchsgegnerin und die Nebenintervenientinnen unter Beilage der Dop- pel von act. 23 und act. 24, sowie nach unbenutztem Ablauf der Rechtsmittel- frist an das Grundbuchamt E._____ und an die Obergerichtskasse.</w:t>
      </w:r>
    </w:p>
    <w:p>
      <w:r>
        <w:rPr>
          <w:b/>
        </w:rPr>
        <w:t>E. 9</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173'144.20. Die gesetzlichen Fristenstillstände gelten nicht (Art. 46 Abs. 2 BGG) Zürich, 28. Januar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