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HE240149 vom 7. Oktober 2024</w:t>
      </w:r>
    </w:p>
    <w:p>
      <w:r>
        <w:t>Zh Handelsgericht, 2024-10-07, DE</w:t>
      </w:r>
    </w:p>
    <w:p>
      <w:r>
        <w:rPr>
          <w:b/>
        </w:rPr>
        <w:t xml:space="preserve">Quelle: </w:t>
      </w:r>
      <w:r>
        <w:t>https://mcp.opencaselaw.ch/entscheid/zh_handelsgericht_HE240149</w:t>
      </w:r>
    </w:p>
    <w:p>
      <w:r>
        <w:t>FR: ZH_HANDELSGERICHT HE240149 du 7 octobre 2024</w:t>
      </w:r>
    </w:p>
    <w:p>
      <w:r>
        <w:t>IT: ZH_HANDELSGERICHT HE240149 del 7 ottobre 2024</w:t>
      </w:r>
    </w:p>
    <w:p>
      <w:pPr>
        <w:pStyle w:val="Heading2"/>
      </w:pPr>
      <w:r>
        <w:t>Erwägungen</w:t>
      </w:r>
    </w:p>
    <w:p>
      <w:r>
        <w:rPr>
          <w:b/>
        </w:rPr>
        <w:t>E. 5</w:t>
      </w:r>
    </w:p>
    <w:p>
      <w:r>
        <w:t>Vollstreckungsmassnahmen Auf Antrag der obsiegenden Partei ordnet das Gericht Vollstreckungsmassnahmen an (Art. 236 Abs. 3 ZPO und Art. 337 Abs. 1 ZPO). Zur Durchsetzung des Auswei- sungsbefehls ist vorliegend die Anweisung an die zuständige Vollzugsbehörde für das Objekt an der C._____-strasse 1, D._____, das Gemeindeammannamt D._____, den Ausweisungsbefehl zu vollstrecken, zweckmässig und ausreichend. Antragsgemäss ist das Gemeindeammannamt D._____ anzuweisen, den Auswei- sungsbefehl nach unbenutztem Ablauf der Rechtsmittelfrist bzw. Nichtgewährung der aufschiebenden Wirkung durch das Bundesgericht auf erstes Verlangen der Gesuchstellerin zu vollstrecken.</w:t>
      </w:r>
    </w:p>
    <w:p>
      <w:r>
        <w:rPr>
          <w:b/>
        </w:rPr>
        <w:t>E. 6</w:t>
      </w:r>
    </w:p>
    <w:p>
      <w:r>
        <w:t>Kosten-und Entschädigungsfolgen Ausgangsgemäss wird die Gesuchsgegnerin kosten- und entschädigungspflichtig (Art. 106 Abs. 1 ZPO). Die Höhe der Gerichtsgebühr bestimmt sich nach der Gebührenverordnung des Obergerichts vom 8. September 2010 (Art. 96 ZPO i.V.m. § 199 Abs. 1 GOG) und richtet sich in erster Linie nach dem Streitwert bzw. nach dem Streitinteresse (§ 2 Abs. 1 lit. a GebV OG). Ausgehend von einem Streitwert von CHF 36'510.–, was sechs Monatsmieten entspricht (BGE 144 III 346 ff. E. 1.2; vgl. act. 1 Rz. 3; act. 3/3- 6), beträgt die Grundgebühr rund CHF 4'800.– (§ 4 Abs.1 GebV OG). In Anwen- dung von § 4 Abs. 2 i.V.m. § 8 Abs. 1 GebV OG sind die Gerichtskosten auf CHF 3'300.– festzusetzen. Die Kosten sind der Gesuchsgegnerin aufzuerlegen und vorab aus dem vom der Gesuchstellerin geleisteten Kostenvorschuss zu decken. Der Gesuchstellerin ist das Rückgriffsrecht auf die Gesuchsgegnerin einzuräumen (vgl. Art. 111 Abs. 2 ZPO).</w:t>
      </w:r>
    </w:p>
    <w:p>
      <w:r>
        <w:t>- 6 - Die Höhe der Anwaltsgebühr bestimmt sich nach der Verordnung des Obergerichts über die Anwaltsgebühren (AnwGebV). Der Anspruch auf die Gebühr entsteht mit der Erarbeitung der Begründung (§ 11 Abs. 1 Satz 1 AnwGebV). Sie richtet sich in erster Linie nach dem Streitwert (§ 2 Abs. 1 lit. a AnwGebV). Beim vorliegenden Streitwert beträgt die nach § 4 Abs. 1 AnwGebV ermittelte Grundgebühr rund CHF 5'700.–. Unter Berücksichtigung von § 4 Abs. 2 sowie § 9 AnwGebV ist die Gesuchsgegnerin zu verpflichten, der Gesuchstellerin eine Parteientschädigung von CHF 3'800.– zu bezahlen. Mangels Darlegung der fehlenden Berechtigung zum Vorsteuerabzug ist die Parteientschädigung praxisgemäss ohne Mehrwert- steuerzuschlag zu berechnen (vgl. Urteil des Bundesgerichts 4A_552/2015 vom 25. Mai 2016, E. 4.5).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