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HE240144 vom 16. September 2024</w:t>
      </w:r>
    </w:p>
    <w:p>
      <w:r>
        <w:t>Zh Handelsgericht, 2024-09-16, DE</w:t>
      </w:r>
    </w:p>
    <w:p>
      <w:r>
        <w:rPr>
          <w:b/>
        </w:rPr>
        <w:t xml:space="preserve">Quelle: </w:t>
      </w:r>
      <w:r>
        <w:t>https://mcp.opencaselaw.ch/entscheid/zh_handelsgericht_HE240144</w:t>
      </w:r>
    </w:p>
    <w:p>
      <w:r>
        <w:t>FR: ZH_HANDELSGERICHT HE240144 du 16 septembre 2024</w:t>
      </w:r>
    </w:p>
    <w:p>
      <w:r>
        <w:t>IT: ZH_HANDELSGERICHT HE240144 del 16 settembre 2024</w:t>
      </w:r>
    </w:p>
    <w:p>
      <w:pPr>
        <w:pStyle w:val="Heading2"/>
      </w:pPr>
      <w:r>
        <w:t>Erwägungen</w:t>
      </w:r>
    </w:p>
    <w:p>
      <w:r>
        <w:rPr>
          <w:b/>
        </w:rPr>
        <w:t>E. 5</w:t>
      </w:r>
    </w:p>
    <w:p>
      <w:r>
        <w:t>Vollstreckungsmassnahmen</w:t>
      </w:r>
    </w:p>
    <w:p>
      <w:r>
        <w:rPr>
          <w:b/>
        </w:rPr>
        <w:t>E. 5.1</w:t>
      </w:r>
    </w:p>
    <w:p>
      <w:r>
        <w:t>Auf Antrag der obsiegenden Partei ordnet das Gericht Vollstreckungsmass- nahmen an (Art. 236 Abs. 3 ZPO). Dabei können gemäss Art. 343 Abs. 1 ZPO bei einem Entscheid auf eine Verpflichtung zu einem Tun direkte oder indirekte Voll- streckungsmassnahmen angedroht werden. Zu den direkten Vollstreckungsmass- nahmen gehören die Zwangsmassnahmen und die Ersatzvornahme (Art. 343 Abs. 1 lit. d und lit. e ZPO). Zu den indirekten Zwangsmassnahmen gehören die Androhung der Bestrafung nach Art. 292 StGB, die Ordnungsbusse und die Tages- busse (Art. 343 Abs. 1 lit. a, lit. b und lit. c ZPO). Da juristische Personen nicht deliktsfähig sind, kann einer solchen keine Bestrafung nach Art. 292 StGB ange- droht werden. Die Strafandrohung muss sich an die zuständigen Organe bzw. Ver- treter richten (BGer 6B_280/2010 vom 20. Mai 2010 E. 3.1). Ob und welche Voll- streckungsmassnahmen angeordnet werden, entscheidet das Gericht nach seinem eigenen Ermessen. Dabei hat es den Grundsatz der Verhältnismässigkeit zu be- achten (STAEHELIN, in: Sutter-Somm/Hasenböhler/Leuenberger [Hrsg.], ZPO-Kom- mentar, Art. 236 N 25).</w:t>
      </w:r>
    </w:p>
    <w:p>
      <w:r>
        <w:rPr>
          <w:b/>
        </w:rPr>
        <w:t>E. 5.2</w:t>
      </w:r>
    </w:p>
    <w:p>
      <w:r>
        <w:t>Die Gesuchstellerin beantragt als Vollstreckungsmassnahmen die Andro- hung einer Bestrafung wegen Ungehorsams gemäss Art. 292 StGB (act. 1 S. 1). Da sich die Gesuchsgegnerin bis anhin und seit längerem weigert, das Fahrzeug zurückzugeben, ist der Befehl mit der Androhung einer Strafe nach Art. 292 StGB für die Organe der Gesuchsgegnerin zu verbinden. Da es sich um die Herausgabe eines Objekts handelt, erweist sich überdies eine Anweisung an die zuständige Vollstreckungsbehörde als zweckmässige Massnahme. Antragsgemäss ist das Stadtammannamt Zürich 1 als zuständige Vollstreckungsbehörde am Sitz der Ge- suchsgegnerin anzuweisen, den Befehl zu vollstrecken und das Leasingfahrzeug zu behändigen sowie der Gesuchstellerin zu übergeben.</w:t>
      </w:r>
    </w:p>
    <w:p>
      <w:r>
        <w:t>- 6 -</w:t>
      </w:r>
    </w:p>
    <w:p>
      <w:r>
        <w:rPr>
          <w:b/>
        </w:rPr>
        <w:t>E. 6</w:t>
      </w:r>
    </w:p>
    <w:p>
      <w:r>
        <w:t>Kosten- und Entschädigungsfolgen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40'000.– (vgl. act. 1 S. 1) beträgt die Grundgebühr rund CHF 4'800.–. Unter Berücksichtigung von § 4 Abs. 1 und 2 sowie § 8 Abs. 1 GebV OG und § 10 Abs. 1 GebV OG sind die Gerichtskosten auf CHF 3'000.– festzusetzen. Ausgangsgemäss sind die Kosten der Gesuchsgegnerin aufzuerlegen (Art. 106 Abs. 1 ZPO). Die Kosten sind vorab aus dem von der Gesuchstellerin geleisteten Kostenvorschuss zu decken. Der Ge- suchstellerin ist das Rückgriffsrecht auf die Gesuchsgegnerin einzuräumen (vgl. Art. 111 Abs. 2 ZPO). Die Gesuchstellerin ist nicht anwaltlich vertreten und begründet ihren Antrag auf Zusprechung einer Parteientschädigung nicht, weshalb ihr keine Parteientschädi- gung zuzusprechen ist (Art. 95 Abs. 3 ZPO).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