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HE240143 vom 10. Oktober 2024</w:t>
      </w:r>
    </w:p>
    <w:p>
      <w:r>
        <w:t>Zh Handelsgericht, 2024-10-10, DE</w:t>
      </w:r>
    </w:p>
    <w:p>
      <w:r>
        <w:rPr>
          <w:b/>
        </w:rPr>
        <w:t xml:space="preserve">Quelle: </w:t>
      </w:r>
      <w:r>
        <w:t>https://mcp.opencaselaw.ch/entscheid/zh_handelsgericht_HE240143</w:t>
      </w:r>
    </w:p>
    <w:p>
      <w:r>
        <w:t>FR: ZH_HANDELSGERICHT HE240143 du 10 octobre 2024</w:t>
      </w:r>
    </w:p>
    <w:p>
      <w:r>
        <w:t>IT: ZH_HANDELSGERICHT HE240143 del 10 ottobre 2024</w:t>
      </w:r>
    </w:p>
    <w:p>
      <w:pPr>
        <w:pStyle w:val="Heading2"/>
      </w:pPr>
      <w:r>
        <w:t>Erwägungen</w:t>
      </w:r>
    </w:p>
    <w:p>
      <w:r>
        <w:rPr>
          <w:b/>
        </w:rPr>
        <w:t>E. 2</w:t>
      </w:r>
    </w:p>
    <w:p>
      <w:r>
        <w:t>Die Anweisung sei superprovisorisch zu verfügen und dem Grund- buchamt unverzüglich zur vorläufigen Eintragung im Grundbuch mitzuteilen.</w:t>
      </w:r>
    </w:p>
    <w:p>
      <w:r>
        <w:rPr>
          <w:b/>
        </w:rPr>
        <w:t>E. 2.1</w:t>
      </w:r>
    </w:p>
    <w:p>
      <w:r>
        <w:t>Die Gesuchsgegnerin ist Alleineigentümerin des streitgegenständlichen Grundstücks (act. 3/4). Sie schloss mit der Streitberufenen, der C._____ AG, einen Totalunternehmervertrag betreffend die schlüsselfertige, betriebs- und bezugsbe- reite Erstellung des Umbaus und der Erweiterung des Spitals D._____ (act. 1 Rz. 8 und 20; act. 14 Rz. 6). Die C._____ AG schloss wiederum mit der Gesuchstellerin Werkverträge betreffend die Lüftungs- und Heizungsanlage (act. 3/5 und 6 bzw. 3/18 und 20).</w:t>
      </w:r>
    </w:p>
    <w:p>
      <w:r>
        <w:rPr>
          <w:b/>
        </w:rPr>
        <w:t>E. 2.2</w:t>
      </w:r>
    </w:p>
    <w:p>
      <w:r>
        <w:t>Die Gesuchstellerin verlangt die vorläufige Eintragung eines Bauhandwer- kerpfandrechts im Umfang von CHF 2'068'143.70 zuzüglich Zins. Die Gesuchsgeg- nerin beantragt, das Gesuch um Eintragung abzuweisen, da die Qualifikation des Grundstücks als Verwaltungsvermögen strittig, die Einhaltung der Viermonatsfrist nicht glaubhaft gemacht und die Pfandsumme nicht nachvollziehbar sei.</w:t>
      </w:r>
    </w:p>
    <w:p>
      <w:r>
        <w:rPr>
          <w:b/>
        </w:rPr>
        <w:t>E. 3</w:t>
      </w:r>
    </w:p>
    <w:p>
      <w:r>
        <w:t>Rechtliche Grundlagen</w:t>
      </w:r>
    </w:p>
    <w:p>
      <w:r>
        <w:rPr>
          <w:b/>
        </w:rPr>
        <w:t>E. 3.1</w:t>
      </w:r>
    </w:p>
    <w:p>
      <w:r>
        <w:t>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w:t>
      </w:r>
    </w:p>
    <w:p>
      <w:r>
        <w:t>- 4 -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rPr>
          <w:b/>
        </w:rPr>
        <w:t>E. 4</w:t>
      </w:r>
    </w:p>
    <w:p>
      <w:r>
        <w:t>Verwaltungsvermögen Bei der Gesuchsgegnerin handelt es sich um eine Aktiengesellschaft, die auf dem streitgegenständlichen Grundstück ein Spital betreibt. Aktionäre der Gesuchsgeg- nerin sind mehrere Gemeinden (act. 14 Rz. 18 ff.; act. 16/3; act. 16/7). Öffentliche Grundstücke, die im Verwaltungsvermögen stehen, sind grundsätzlich unpfändbar und können daher auch nicht mit einem Bauhandwerkerpfandrecht belastet werden (SCHUMACHER/REY, a.a.O., Rz. 560 ff.). Vorliegend ist zwischen den Parteien strit- tig, ob es sich beim im Eigentum der Gesuchsgegnerin stehenden Grundstück um Verwaltungsvermögen handelt oder nicht (act. 1 Rz. 4; act. 17 Rz. 17 ff.). Bei die- ser Sachlage ist – sofern die weiteren Voraussetzungen erfüllt sind – vorläufig ein Bauhandwerkerpfandrecht im Grundbuch einzutragen. Ob es sich um Verwaltungs- vermögen handelt oder nicht, ist erst im definitiven Eintragungsverfahren zu klären (Art. 839 Abs. 5 und 6 ZGB; Urteil des Handelsgerichts des Kantons Zürich HE210042 vom 7. Mai 2021, E. 5 und 6.1).</w:t>
      </w:r>
    </w:p>
    <w:p>
      <w:r>
        <w:rPr>
          <w:b/>
        </w:rPr>
        <w:t>E. 5</w:t>
      </w:r>
    </w:p>
    <w:p>
      <w:r>
        <w:t>Pfandsumme</w:t>
      </w:r>
    </w:p>
    <w:p>
      <w:r>
        <w:rPr>
          <w:b/>
        </w:rPr>
        <w:t>E. 5.1</w:t>
      </w:r>
    </w:p>
    <w:p>
      <w:r>
        <w:t>Lüftungsanlage 5.1.1.1. Die Gesuchstellerin macht für die Lüftungsanlage unbezahlte Rechnungen von total CHF 46'045.75 geltend. Dieser Betrag setzte sich aus der 3. Akontorech- nung über CHF 24'474.70 (act. 3/15), einem Rückbehalt per 31. Dezember 2023 von CHF 43'060.60 (act. 3/17) und einer gegenläufigen Position von CHF -</w:t>
      </w:r>
    </w:p>
    <w:p>
      <w:r>
        <w:t>- 5 - 24'805.20 (act. 3/16) zusammen. Vom vereinbarten Werkpreis (inkl. MwSt.) von CHF 4'200'300.– (act. 3/6), seien bisher Leistungen im Umfang von CHF 820'300.07 netto erbracht worden (act. 1 Rz. 15; act. 3/13). Die Vertragsleis- tungen habe die Gesuchstellerin einerseits in ihrer Abacus Software, anderseits über periodische Leistungsnachweise festgehalten (act. 1 Rz. 9).</w:t>
      </w:r>
    </w:p>
    <w:p>
      <w:r>
        <w:rPr>
          <w:b/>
        </w:rPr>
        <w:t>E. 5.1.2</w:t>
      </w:r>
    </w:p>
    <w:p>
      <w:r>
        <w:t>Die Gesuchsgegnerin wendet ein, dass Akontozahlungen gerade nicht die effektiv ausgeführten Arbeiten belegen würden, sondern "pauschale" Zahlungen seien. Es sei nicht dargelegt worden, welche Arbeiten vertragskonform erbracht worden seien (act. 14 Rz. 36).</w:t>
      </w:r>
    </w:p>
    <w:p>
      <w:r>
        <w:rPr>
          <w:b/>
        </w:rPr>
        <w:t>E. 5.1.3</w:t>
      </w:r>
    </w:p>
    <w:p>
      <w:r>
        <w:t>Bei den von der Gesuchstellerin erbrachten Arbeiten im Zusammenhang mit der Lüftungsanlage handelt es sich um pfandberechtigte Arbeiten. Die Gesuchs- gegnerin macht nicht geltend, die von der Gesuchstellerin geforderten ausstehen- den Beträge bezahlt zu haben. Im Rahmen des vorsorglichen Eintragungsverfah- rens ist der ausstehende Betrag von CHF 46'045.75 für die Lüftungsanlage glaub- haft gemacht.</w:t>
      </w:r>
    </w:p>
    <w:p>
      <w:r>
        <w:rPr>
          <w:b/>
        </w:rPr>
        <w:t>E. 5.2</w:t>
      </w:r>
    </w:p>
    <w:p>
      <w:r>
        <w:t>Heizungsanlage</w:t>
      </w:r>
    </w:p>
    <w:p>
      <w:r>
        <w:rPr>
          <w:b/>
        </w:rPr>
        <w:t>E. 5.2.1</w:t>
      </w:r>
    </w:p>
    <w:p>
      <w:r>
        <w:t>Die Gesuchstellerin macht für die Heizungsanlage unbezahlte Rechnungen von total CHF 2'022'097.95 geltend: CHF 1'387'585.75 (8. Akontorechnung; act. 3/26), CHF 46'376.25 (Zwischenschlussrechnung vom 23. Mai 2024; act. 3/28) und CHF 190'532.20 (Rückbehalt per 31. Dezember 2023; act. 3/29). Diese Rech- nungen würden auf dem aktuellen Leistungsnachweis für die Zwischenschluss- rechnung (act. 3/25) basieren, wobei die Nebenintervenientin den vorgängigen Leistungsnachweis (act. 3/24) unterzeichnet habe (act. 1 Rz. 25).</w:t>
      </w:r>
    </w:p>
    <w:p>
      <w:r>
        <w:rPr>
          <w:b/>
        </w:rPr>
        <w:t>E. 5.2.2</w:t>
      </w:r>
    </w:p>
    <w:p>
      <w:r>
        <w:t>Die Gesuchsgegnerin beanstandet, dass sich die Gesuchstellerin auf den "aktuellen" Leistungsnachweis stützte, ohne zu erläutern, welche Positionen dort weshalb verändert worden seien. Weiter sei nicht ersichtlich, ob die 8. Akontorech- nung vom 7. März 2024 in der Zwischenschlussrechnung vom 23. Mai 2024 Ein- gang finde (act. 14 Rz. 37 f.).</w:t>
      </w:r>
    </w:p>
    <w:p>
      <w:r>
        <w:t>- 6 -</w:t>
      </w:r>
    </w:p>
    <w:p>
      <w:r>
        <w:rPr>
          <w:b/>
        </w:rPr>
        <w:t>E. 5.2.3</w:t>
      </w:r>
    </w:p>
    <w:p>
      <w:r>
        <w:t>In der Zwischenschlussrechnung vom 23. Mai 2024 sind sowohl die 8. Akon- torechnung als auch der Rückbehalt per 31. Dezember 2023 als bezahlt enthalten, weshalb diese zusätzlich geltend gemacht werden können (act. 3/28). Im aktuellen Leistungsnachweis (act. 3/25) sind gewisse Positionen unter "Nachträge Teuerung" zusätzlich aufgeführt. Im Rahmen des vorsorglichen Eintragungsverfahrens ist es nicht möglich, die Leistungsnachweise der Gesuchstellerin umfassend zu prüfen. Die Arbeiten der Gesuchstellerin betreffend Heizungsanlage sind klar pfandberech- tigt, weshalb die geltend gemachte Pfandsumme von CHF 2'022'097.95 vorläufig als glaubhaft zu betrachten ist.</w:t>
      </w:r>
    </w:p>
    <w:p>
      <w:r>
        <w:rPr>
          <w:b/>
        </w:rPr>
        <w:t>E. 6</w:t>
      </w:r>
    </w:p>
    <w:p>
      <w:r>
        <w:t>Einhaltung der Viermonatsfrist</w:t>
      </w:r>
    </w:p>
    <w:p>
      <w:r>
        <w:rPr>
          <w:b/>
        </w:rPr>
        <w:t>E. 6.1</w:t>
      </w:r>
    </w:p>
    <w:p>
      <w:r>
        <w:t>Betreffend Lüftungsanlage führt die Gesuchstellerin aus, dass zuletzt am 2. bzw. vom 6. bis 7. Mai 2024 im Erdgeschoss folgende Regiearbeiten ausgeführt worden seien: Änderung der Kanalführung gemäss neuem Planstand und Anpas- sung an die fertig erstellten Aussparungen Trockenbau (act. 1 Rz. 10; act. 3/7-9). Zudem sei sie am 3. Mai 2024 über die provisorische Nachlassstundung der Ne- benintervenientin informiert und aufgefordert worden, die Arbeiten am Bau mit so- fortiger Wirkung einzustellen (act. 1 Rz. 11; act. 3/10). Vom 3. bis 8. Mai 2024 habe die Gesuchstellerin diverse Schadensminderungs- und Sicherheitsmassnahmen ergriffen (act. 1 R. 12 f.; act. 3/11-12). Das Auftragsvolumen sei bis dato nur zu ca. 20% erfüllt worden (act. 1 Rz. 15; act. 3/13).</w:t>
      </w:r>
    </w:p>
    <w:p>
      <w:r>
        <w:rPr>
          <w:b/>
        </w:rPr>
        <w:t>E. 6.2</w:t>
      </w:r>
    </w:p>
    <w:p>
      <w:r>
        <w:t>Betreffend Heizungsanlage habe die Gesuchstellerin bis am 3. Mai 2024 Teile der Vertragsleistungen sowie Regiearbeiten erbracht (act. 1 Rz. 21; act. 3/21). Vom 6. bis 16. Mai habe sie noch diverse Schadensminderungs- und Sicherheits- massnahmen ergriffen (act. 1 Rz. 23; act. 3/22-23). Das Auftragsvolumen sie bis dato nur zu ca. 60% erfüllt worden (act. 1 Rz. 24; act. 3/24-25).</w:t>
      </w:r>
    </w:p>
    <w:p>
      <w:r>
        <w:rPr>
          <w:b/>
        </w:rPr>
        <w:t>E. 6.3</w:t>
      </w:r>
    </w:p>
    <w:p>
      <w:r>
        <w:t>Die Gesuchsgegnerin beanstandet, die Gesuchstellerin habe nicht einmal im Ansatz substantiiert dargelegt, am 2., 6. oder 7. Mai 2024 relevante Arbeiten verrichtet zu haben (act. 14 Rz. 24 ff.). Bei den Schadensminderungs- und Sicher- heitsmassnahmen vom 3. bis 8. Mai 2024 bzw. 6. bis 16. Mai 2024 handle es sich um geringfügige oder nebensächliche Arbeiten (act. 14 Rz. 29 und 31).</w:t>
      </w:r>
    </w:p>
    <w:p>
      <w:r>
        <w:t>- 7 -</w:t>
      </w:r>
    </w:p>
    <w:p>
      <w:r>
        <w:rPr>
          <w:b/>
        </w:rPr>
        <w:t>E. 6.4</w:t>
      </w:r>
    </w:p>
    <w:p>
      <w:r>
        <w:t>Die vorläufige Eintragung hat unter Verwirkungsfolge "bis spätestens vier Monate nach der Vollendung der Arbeiten zu erfolgen" (Art. 839 Abs. 2 ZGB i.V.m. Art. 961 Abs. 1 Ziff. 1 und Abs. 2 ZGB; Art. 76 Abs. 3 GBV; BGE 126 III 462 E. 2c/aa). Die für den Beginn des Fristenlauf entscheidende Vollendung der Arbei- ten tritt ein,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(BGE 125 III 113 E. 2b; Urteil des Bundesgerichts 5A_109/2022 vom 15. September 2022, E. 2.2). Im Falle eines Abbruchs der Arbeiten beginnt die gesetzliche Eintragungs- frist im Zeitpunkt der vorzeitigen Vertragsauflösung zu laufen (BGE 120 II 389 E. 1a S. 391; BGE 102 II 206 E. 1a S. 208-209; Urteil des Bundesgerichts 5A_1047/2020 vom 4. August 2021, E. 3.1). Dies gilt selbst dann, wenn in dem der gesetzlichen Eintragungsfrist entsprechenden Zeitraum vor Vertragsauflösung keine qualifizier- ten Arbeiten mehr stattgefunden haben (BGE 120 II 389 E. 1b S. 392).</w:t>
      </w:r>
    </w:p>
    <w:p>
      <w:r>
        <w:rPr>
          <w:b/>
        </w:rPr>
        <w:t>E. 6.5</w:t>
      </w:r>
    </w:p>
    <w:p>
      <w:r>
        <w:t>Im Grundsatz ist unstreitig, dass die Arbeiten der Gesuchstellerin noch nicht abgeschlossen sind. Mit anderen Worten wurden die geschuldeten Werke bis anhin nicht vollendet. Entsprechend kann es sich bei den behaupteten Arbeiten von vorn- herein nicht um Arbeiten handeln, die rein der Vervollkommnung des Werks dienen. Mit dem Ausschluss geringfügiger untergeordneter Arbeiten als fristauslösende Ar- beiten soll verhindert werden, dass der Fristenlauf bei an sich bereits vollendeten Arbeiten neu ausgelöst werden kann. Solange das Werk nicht vollendet wurde, die- nen dagegen sämtliche werkvertraglich geschuldeten Leistungen dessen Vollen- dung. Entgegen der Ansicht der Gesuchsgegnerin ist davon auszugehen, dass so- wohl die Änderung der Kanalführung gemäss neuem Planstand und Anpassung an die fertig erstellten Aussparungen Trockenbau als auch die Vertragsleistungen be- treffend Heizungsanlage bis zum Schreiben der Nebenintervenientin am 3. Mai 2024, mit welchem sie die Gesuchstellerin zur sofortigen Einstellung der Arbeiten aufforderte, zur Vollendung der Werke beitrugen. Die Eintragungsfrist lief deshalb frühestens am 3. September 2024 ab. Mit der Aufnahme ins Tagebuch am 19. Au- gust 2024 ist die Eintragungsfrist eingehalten (Art. 839 Abs. 2 ZGB i.V.m. Art. 961 Abs. 2 ZGB und Art. 972 Abs. 2 ZGB).</w:t>
      </w:r>
    </w:p>
    <w:p>
      <w:r>
        <w:t>- 8 -</w:t>
      </w:r>
    </w:p>
    <w:p>
      <w:r>
        <w:rPr>
          <w:b/>
        </w:rPr>
        <w:t>E. 7</w:t>
      </w:r>
    </w:p>
    <w:p>
      <w:r>
        <w:t>Verzugszinsen</w:t>
      </w:r>
    </w:p>
    <w:p>
      <w:r>
        <w:rPr>
          <w:b/>
        </w:rPr>
        <w:t>E. 7.1</w:t>
      </w:r>
    </w:p>
    <w:p>
      <w:r>
        <w:t>Die Gesuchstellerin beantragt weiter die Eintragung von Zins zu 5% für CHF 1'387'585.75 ab dem 7. Mai 2024 und für CHF 680'557.95 ab dem 23. Juli 2024. Als Begründung führt sie an, dass die Zahlungsfrist der betreffenden Rech- nungen jeweils 60 Tage betrug (act. 1 Rz. 18 und 30). Die Gesuchsgegnerin be- streitet die Zinsforderung pauschal (act. 14 Rz. 41).</w:t>
      </w:r>
    </w:p>
    <w:p>
      <w:r>
        <w:rPr>
          <w:b/>
        </w:rPr>
        <w:t>E. 7.2</w:t>
      </w:r>
    </w:p>
    <w:p>
      <w:r>
        <w:t>Auf den jeweiligen Rechnungen ist tatsächlich eine Zahlungsfrist von 60 Ta- gen netto aufgeführt (act. 3/15, 17, 26, 28, 29). Im Rahmen der vorsorglichen Ein- tragung ist gerade noch glaubhaft, dass die Zahlungsfristen effektiv an den genann- ten Daten endeten und es sich dabei jeweils um Verfalltage handelte (vgl. Art. 102 Abs. 2 OR), ab welchen Verzugszinsen geschuldet sind (Art. 104 OR).</w:t>
      </w:r>
    </w:p>
    <w:p>
      <w:r>
        <w:rPr>
          <w:b/>
        </w:rPr>
        <w:t>E. 8</w:t>
      </w:r>
    </w:p>
    <w:p>
      <w:r>
        <w:t>Fazit und Fristansetzung zur Prosequierung Im Ergebnis ist die einstweilige Anweisung als vorläufige Eintragung zu bestätigen. Sodann ist der Gesuchstellerin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rPr>
          <w:b/>
        </w:rPr>
        <w:t>E. 9</w:t>
      </w:r>
    </w:p>
    <w:p>
      <w:r>
        <w:t>Kosten- und Entschädigungsfolgen</w:t>
      </w:r>
    </w:p>
    <w:p>
      <w:r>
        <w:rPr>
          <w:b/>
        </w:rPr>
        <w:t>E. 9.1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2'068'143.70 auszugehen, wobei die Gerichtsgebühr in Anwendung von § 4 Abs. 1 und 2 sowie § 8 Abs. 1</w:t>
      </w:r>
    </w:p>
    <w:p>
      <w:r>
        <w:t>- 9 - GebV OG auf CHF 20'000.– festzusetzen ist. Hinzu kommen die Kosten des Grundbuchamtes von CHF 305.– (act. 7). Allfällige weitere Kosten sind vorzube- halten.</w:t>
      </w:r>
    </w:p>
    <w:p>
      <w:r>
        <w:rPr>
          <w:b/>
        </w:rPr>
        <w:t>E. 9.2</w:t>
      </w:r>
    </w:p>
    <w:p>
      <w:r>
        <w:t>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 des Handelsgerichts des Kantons Zürich sind die Gerichtskosten im Verfahren be- treffend die vorläufige Eintragung des Pfandrechts von der Gesuchstellerin zu be- ziehen, wobei der endgültige Entscheid des Gerichts im ordentlichen Verfahren vor- behalten bleibt.</w:t>
      </w:r>
    </w:p>
    <w:p>
      <w:r>
        <w:rPr>
          <w:b/>
        </w:rPr>
        <w:t>E. 9.3</w:t>
      </w:r>
    </w:p>
    <w:p>
      <w:r>
        <w:t>Auch der Entscheid betreffend die Entschädigungsfolgen ist dem ordentli- chen Verfahren vorbehalten. Für den Fall, dass die Gesuchstellerin ihren Anspruch jedoch nicht prosequieren sollte, ist der Gesuchsgegnerin in Anwendung von § 4 Abs. 1 und 2 sowie § 9 AnwGebV OG eine Parteientschädigung von CHF 10'500.– zuzusprechen. Mangels Darlegung der fehlenden Berechtigung zum Vorsteuerab- zug ist die Parteientschädigung praxisgemäss ohne Mehrwertsteuerzuschlag zu berechnen (vgl. Urteil des Bundesgerichts 4A_552/2015 vom 25. Mai 2016, E. 4.5).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