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HE240126 vom 20. September 2024</w:t>
      </w:r>
    </w:p>
    <w:p>
      <w:r>
        <w:t>Zh Handelsgericht, 2024-09-20, DE</w:t>
      </w:r>
    </w:p>
    <w:p>
      <w:r>
        <w:rPr>
          <w:b/>
        </w:rPr>
        <w:t xml:space="preserve">Quelle: </w:t>
      </w:r>
      <w:r>
        <w:t>https://mcp.opencaselaw.ch/entscheid/zh_handelsgericht_HE240126</w:t>
      </w:r>
    </w:p>
    <w:p>
      <w:r>
        <w:t>FR: ZH_HANDELSGERICHT HE240126 du 20 septembre 2024</w:t>
      </w:r>
    </w:p>
    <w:p>
      <w:r>
        <w:t>IT: ZH_HANDELSGERICHT HE240126 del 20 settembre 2024</w:t>
      </w:r>
    </w:p>
    <w:p>
      <w:pPr>
        <w:pStyle w:val="Heading2"/>
      </w:pPr>
      <w:r>
        <w:t>Volltext</w:t>
      </w:r>
    </w:p>
    <w:p>
      <w:r>
        <w:t>Handelsgericht des Kantons Zürich Einzelgericht Geschäfts-Nr.: HE240126-O U/mk Mitwirkend: Oberrichter Dr. Stephan Mazan, Vizepräsident, sowie die Gerichts- schreiberin Dr. Corina Bötschi Urteil vom 20. September 2024 in Sachen A._____ AG Gesuchstellerin vertreten durch Rechtsanwalt MLaw X._____ gegen B._____ AG, Gesuchsgegnerin vertreten durch Rechtsanwalt PD Dr. iur. Y1._____, vertreten durch Rechtsanwältin MLaw Y2._____ betreffend Bauhandwerkerpfandrecht</w:t>
      </w:r>
    </w:p>
    <w:p>
      <w:r>
        <w:t>- 2 - Rechtsbegehren: (act. 1 S. 2) "1. Das Grundbuchamt D._____, … [Adresse], sei gerichtlich anzu- weisen, zu Gunsten der Klägerin (A._____ AG) und zu Lasten des beklagtischen Grundstücks LIG Kat.-Nr. 1, Grundbuchblatt 2, Grundbuch D._____, ein Bauhandwerkerpfandrecht mit einer Pfandsumme von Fr. 125'427.55 (inkl. MWSt.) zzgl. 5.75% Zins auf Fr. 5'890.25 seit 11. August 2024, auf Fr. 23'453.00 seit 11. Juli 2024, auf Fr. 5'140.45 seit 11. Juli 2024, auf Fr. 13'000.00 seit 11. Juni 2024, auf Fr. 598.95 seit 11. Juni 2024, auf Fr. 1'768.40 seit 11. April 2024, auf Fr. 8'754.40 seit 11. April 2024, auf Fr. 27'110.25 seit 11. März 2024, auf Fr. 5'870.15 seit 11. März 2024, auf Fr. 2'955.60 seit 11. März 2024 und auf Fr. 30'886.10 seit 11. März 2024 als vorläufige Eintragung im Grundbuch vorzu- merken. 2. Die Anweisungen gemäss Ziff. 1 hiervor sei als vorläufige Mass- nahme superprovisorisch und ohne vorgängige Anhörung der Be- klagten sofort zu erteilen. 3. Die beantragte superprovisorische Verfügung sei dem Grund- buchamt D._____ umgehend sowohl schriftlich als auch per Tele- fax oder elektronisch anzumelden. 4. Der Klägerin sei eine angemessene Frist von mindestens drei Monaten anzusetzen, um die Klage auf definitive Eintragung des Bauhandwerkerpfandrechts gemäss Ziff. 1 hiervor einzureichen. 5. Unter Kosten- und Entschädigungsfolgen, zuzüglich MWSt., zu Lasten der Beklagten." Das Einzelgericht zieht in Erwägung: 1. Mit Eingabe vom 24. Juli 2024 (Datum Poststempel) stellte die Gesuchstel- lerin beim Einzelgericht des Handelsgerichts des Kantons Zürich das Gesuch mit eingangs genanntem Begehren (act. 1). Mit Verfügung vom 26. Juli 2024 wurde das Grundbuchamt D._____ angewiesen, das Pfandrecht zugunsten der Gesuch- stellerin vorläufig im Grundbuch einzutragen. Gleichzeitig wurde der Gesuchsgeg- nerin Frist angesetzt, um zum Begehren der Gesuchstellerin Stellung zu nehmen (act. 4). Die Gesuchsgegnerin stellte mit Eingabe vom 14. August 2024 ein Frister- streckungsgesuch und teilte mit, der E._____ AG, … [Adresse], mit Schreiben vom 14. August 2024 den Streit verkündet zu haben (act. 8). Mit Verfügung vom 16. August 2024 wurde von der Streitverkündung Vormerk genommen und der Ge-</w:t>
      </w:r>
    </w:p>
    <w:p>
      <w:r>
        <w:t>- 3 - suchsgegnerin die Frist zur Einreichung einer Stellungnahme erstreckt (act. 11). Die Gesuchsgegnerin reichte mit Eingabe vom 9. September 2024 innert erstreck- ter Frist ihre Stellungnahme vom 9. September 2024 ein (act. 13). Die Streitberu- fene liess sich zur Streitverkündung nicht vernehmen. Da dem Gesuch der Gesuch- stellerin zu entsprechen ist, ist ihr die Stellungnahme der Gesuchsgegnerin mit die- sem Urteil zuzustellen. Die Sache ist spruchreif. 2.1 Die Gesuchstellerin macht geltend, sie habe mit der Streitberufenen im Rah- men des Umbaus und der Erweiterung des Spitals D._____ einen Werkvertrag be- treffend Bohr- und Schneidarbeiten abgeschlossen. Die vertraglich geschuldeten Leistungen habe sie im Zeitraum zwischen dem 29. April und dem 3. Mai 2024 erbracht. Die Pfandsumme betrage insgesamt CHF 125'427.55 (act. 1 N. 6 ff.). 2.2 Die Gesuchsgegnerin bestreitet einen Anspruch auf Eintragung eines Bau- handwerkerpfandrechts. Demnach sei der Abschluss eines Werkvertrags zwischen der Gesuchstellerin und der Streitberufenen nicht glaubhaft gemacht worden (act. 13 N. 24 ff.). Ferner sei die Einhaltung der Viermonatsfrist nicht dargetan (act. 13 N. 29 ff.). Schliesslich sei die Pfandsumme im Umfang von CHF 125'427.55 bzw. die Zinsforderung nicht nachvollziehbar (act. 13 N. 33 ff.). 3.1 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 3.2 Geht es lediglich um die vorläufige Eintragung des Pfandrechts, so muss die Gesuchstellerin ihr Begehren nur glaubhaft machen. An die Glaubhaftmachung</w:t>
      </w:r>
    </w:p>
    <w:p>
      <w:r>
        <w:t>- 4 - sind nach konstanter Lehre und Praxis keine strengen Anforderungen zu stellen: Die vorläufige Eintragung eines gesetzlichen Pfandrechts darf nur dann verweigert werden, wenn der Bestand des Pfandrechts ausgeschlossen oder höchst unwahr- scheinlich ist. Im Zweifelsfall ist die vorläufige Eintragung zu bewilligen und die Ent- scheidung über Bestand und Umfang des Pfandrechts dem ordentlichen Gericht vorzubehalten. Dies gilt insbesondere bei unklarer oder unsicherer Rechtslage (BGE 86 I 270; BGE 102 Ia 86; BGE 112 Ib 484; Entscheid des Obergerichts ZH vom 14. Februar 1980, ZR 79 Nr. 80, E. 1; SCHUMACHER/REY, Das Bauhandwerker- pfandrecht, 4. Aufl. Zürich 2022, N. 1530 ff.; ZOBL, das Bauhandwerkerpfandrecht de lege lata und de lege ferenda, ZSR 101 [1982] II Halbband, S. 158). 4. Das Grundstück, auf dem die von der Gesuchstellerin behaupteten Leistun- gen erbracht worden sind, steht im Alleineigentum der Gesuchsgegnerin (act. 3/7). Bei der Gesuchsgegnerin handelt es sich um eine Aktiengesellschaft, die auf dem streitgegenständlichen Grundstück ein Spital betreibt. Aktionäre der Gesuchsgeg- nerin sind mehrere Gemeinden (act. 14 N. 17 ff.; act. 15/3‒7). Öffentliche Grund- stücke, die im Verwaltungsvermögen stehen, sind grundsätzlich unpfändbar und können daher auch nicht mit einem Bauhandwerkerpfandrecht belastet werden (SCHUMACHER/REY, a.a.O., N. 560 ff.). Vorliegend ist zwischen den Parteien strittig, ob es sich beim im Eigentum der Gesuchsgegnerin stehenden Grundstück um Ver- waltungsvermögen handelt oder nicht (act. 13 N. 17 ff.; vgl. act. 1 N. 19 ff.). Bei dieser Sachlage ist – sofern die weiteren Voraussetzungen erfüllt sind – vorläufig ein Bauhandwerkerpfandrecht im Grundbuch einzutragen. Ob es sich um Verwal- tungsvermögen handelt oder nicht, ist erst im definitiven Eintragungsverfahren zu klären (Art. 839 Abs. 5 und 6 ZGB; Urteil des Handelsgerichts des Kantons Zürich HE210042 vom 7. Mai 2021, E. 5 und 6.1). 5. Die Gesuchsgegnerin bestreitet, dass zwischen der Gesuchstellerin und der Streitberufenen ein gültiger Werkvertrag vorliegt (act. 13 N. 24 ff.). Gestützt auf den eingereichten Werkvertrag (act. 3/7), die verrichteten Arbeiten (act. 1 N. 22 ff.) so- wie die Korrespondenz zwischen der Gesuchstellerin und der Streitberufenen (act. 3/10-33a) erscheint einstweilen glaubhaft, dass ein Werkvertrag betreffend Bohr- und Schneidearbeiten auf dem Grundstück der Gesuchsgegnerin bestanden</w:t>
      </w:r>
    </w:p>
    <w:p>
      <w:r>
        <w:t>- 5 - hat und pfandberechtigte Arbeiten von der Gesuchstellerin geleistet worden sind. Der Einwand der Gesuchsgegnerin betreffend das fehlende rechtsgültig unter- zeichnete Zuschlagsschreiben (act. 13 N. 25 ff.) wäre im Hauptverfahren näher zu prüfen. 6. Zur Pfandsumme macht die Gesuchstellerin geltend, sie habe mit der Streit- berufenen die Erbringung von werkvertraglichen Arbeiten im Gesamtwert von CHF 291'895.90 (inkl. MWSt.) vereinbart. Ausstehend seien noch Rechnungen im Gesamtumfang von CHF 125'427.55 (inkl. MWSt.) (act. 1 N. 22 ff.; act. 3/9‒33a). Die Gesuchsgegnerin macht diesbezüglich lediglich geltend, dass die geltend ge- machte Pfandsumme nicht substantiiert dargetan sei und überdies zahlreiche Ar- beitsrapporte von der Streitberufenen nicht unterzeichnet seien (act. 13 N. 33 ff.). Da an die Glaubhaftmachung – wie erwähnt – keine strengen Anforderungen ge- stellt werden, verfangen diese pauschalen Bestreitungen der Gesuchsgegnerin be- treffend den Umfang der geltend gemachten Arbeiten bzw. betreffend die Höhe der Pfandsumme nicht. Vielmehr wäre es an ihr gewesen, diesbezüglich substantiierte Behauptungen aufzustellen und entsprechende Nachweise zu erbringen, sodass ein Pfandanspruch geradezu als ausgeschlossen erachtet werden müsste. 7. Die vorläufige Eintragung hat unter Verwirkungsfolge "bis spätestens vier Mo- nate nach der Vollendung der Arbeiten zu erfolgen" (Art. 839 Abs. 2 ZGB i.V.m. Art. 961 Abs. 1 Ziff. 1 und Abs. 2 ZGB; Art. 76 Abs. 3 GBV; BGE 126 III 462 E. 2c/aa S. 464). Die für den Beginn des Fristenlaufs entscheidende Vollendung der Arbeiten tritt ein, "wenn alle Verrichtungen, die Gegenstand des Werkvertrages bilden, ausgeführt sind. Nicht in Betracht fallen dabei geringfügige oder nebensäch- liche, rein der Vervollkommnung dienende Arbeiten oder Ausbesserungen wie der Ersatz gelieferter, aber fehlerhafter Teile oder die Behebung anderer Mängel" (BGE 125 III 113 E. 2b S. 115-116 m.w.H.; BGer 5A_109/2022 v. 15.09.2022 E. 2.2). Die Gesuchstellerin macht geltend, am 3. Mai 2024 noch Bohrarbeiten aus- geführt bzw. Materialstücke ausgebaut zu haben (act. 1 N. 51; act. 3/10‒12). Ent- gegen der Gesuchsgegnerin (act. 13 N. 29 ff.) ist mit Blick auf den Gegenstand des vorliegenden Werkvertrags weder dargetan noch ersichtlich, inwiefern es sich da- bei um geringfügige oder rein nebensächliche Arbeiten handeln soll. Mit der Auf-</w:t>
      </w:r>
    </w:p>
    <w:p>
      <w:r>
        <w:t>- 6 - nahme ins Tagebuch am 26. Juli 2024 ist die Eintragungsfrist sodann ohne Weite- res eingehalten (Art. 839 Abs. 2 ZGB i.V.m. Art. 961 Abs. 2 ZGB und Art. 972 Abs. 2 ZGB). 8. Die Gesuchstellerin macht geltend, dass gemäss Werkvertrag mit der Streit- berufenen die Rechnungen innert 60 Tagen zur Zahlung fällig seien, wobei es sich um Verfalltage handle. Die Zahlungsfrist beginne ab dem auf den Rechnungsein- gang folgenden 10. eines Monats zu laufen. Der Verzugszinssatz betrage in An- wendung von Art. 190 Abs. 1 SIA-Norm 118 5.75%. Gestützt darauf beantragt die Gesuchstellerin einen Zins von 5.75% auf CHF 5'890.25 seit 11. August 2024, auf CHF 23'453.– seit 11. Juli 2024, auf CHF 5'140.45 seit 11. Juli 2024, auf CHF 13'000.– seit 11. Juni 2024, auf CHF 598.95 seit 11. Juni 2024, auf CHF 1'768.40 seit 11. April 2024, auf CHF 8'754.40 seit 11. April 2024, auf CHF 27'110.25 seit 11. März 2024, auf CHF 5'870.15 seit 11. März 2024, auf CHF 2'955.60 seit 11. März 2024 und auf CHF 30'886.10 seit 11. März 2024 (act. 1 N. 46 f.). Entgegen der Gesuchsgegnerin (act. 13 N. 39 ff.) ist einstweilen glaubhaft dargetan, dass die Parteien Verfalltage vereinbart haben. Damit wurde der Beginn des Zinsenlaufs begründet und wird von der Gesuchsgegnerin auch nicht substan- tiiert bestritten. Entsprechend ist auch der beantragte Verzugszins einstweilen aus- gewiesen. 9. Gesamthaft sind die Voraussetzungen für die vorsorgliche Eintragung eines Bauhandwerkerpfandrechts glaubhaft gemacht. Die superprovisorische Eintragung des Pfandrechts auf dem Grundstück der Gesuchsgegnerin ist daher zu bestätigen. 10.1 Die Höhe der Gerichtsgebühr wird nach der Gebührenverordnung des Ober- gerichts bestimmt (Art. 96 ZPO i.V.m. § 199 Abs. 1 GOG) und richtet sich in erster Linie nach dem Streitwert bzw. nach dem tatsächlichen Streitinteresse (§ 2 Abs. 1 lit. a GebV OG). Es ist von einem Streitwert von CHF 125'427.55 auszugehen, wo- bei die Gerichtsgebühr in Anwendung von § 4 Abs. 1 und 2 sowie § 8 Abs. 1 GebV OG auf CHF 7'350.‒ festzusetzen ist. 10.2 Über den Pfandanspruch der Gesuchstellerin ist noch nicht definitiv entschie- den. Es wird im ordentlichen Verfahren festzustellen sein, ob die Gesuchstellerin</w:t>
      </w:r>
    </w:p>
    <w:p>
      <w:r>
        <w:t>- 7 - endgültig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10.3 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8'300.‒ zuzusprechen. Praxisgemäss ist ihr die Parteientschädigung ohne Mehrwertsteu- erzuschlag zuzusprechen Das Einzelgericht erkennt: 1. Die einstweilige Anweisung an das Grundbuchamt D._____ wird bestätigt als vorläufige Eintragung im Sinne von Art. 961 ZGB mit Wirkung ab vorläufi- ger Eintragung gemäss Verfügung vom 26. Juli 2024 bis zur rechtskräftigen Erledigung des gemäss Dispositiv-Ziffer 2 einzuleitenden Prozesses auf Liegenschaft Kat. Nr. 1, GBBl. 2, EGRID CH3, F._____, G._____-strasse 4, 5, 6, 7 und H._____-gasse 8, 9, 10, für eine Pfandsumme von CHF 125'427.55 (inkl. MwSt.) nebst Zins zu 5.75 % auf CHF 5'890.25 seit 11. August 2024, auf CHF 23'453.– seit 11. Juli 2024, auf CHF 5'140.45 seit 11. Juli 2024, auf CHF 13'000.– seit 11. Juni 2024, auf CHF 598.95 seit 11. Juni 2024, auf CHF 1'768.40 seit 11. April 2024, auf CHF 8'754.40 seit 11. April 2024, auf CHF 27'110.25 seit 11. März 2024, auf CHF 5'870.15 seit 11. März 2024, auf CHF 2'955.60 seit 11. März 2024 und auf CHF 30'886.10 seit 11. März 2024. 2. Der Gesuchstellerin wird eine Frist bis 22. November 2024 angesetzt, um eine Klage auf definitive Eintragung des Pfandrechts gegen die Gesuchs-</w:t>
      </w:r>
    </w:p>
    <w:p>
      <w:r>
        <w:t>- 8 - gegnerin anzuheben. Bei Säumnis kann die Gesuchsgegnerin den vorläufi- gen Eintrag (Dispositiv-Ziffer 1) löschen lassen. 3. Die Gerichtsgebühr beträgt CHF 7'350.–. Die weiteren Kosten betragen: CHF 67.70 (Rechnung Nr. … des Grund- buchamtes D._____ vom 26. Juli 2024). 4. Die Kosten gemäss Dispositiv-Ziffer 3 werden von der Gesuchstellerin bezo- 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Klage, wird sie verpflichtet, der Gesuchsgegnerin eine Parteientschädigung von CHF 8'300.‒ zu bezahlen. 6. Schriftliche Mitteilung an die Parteien, an die Gesuchstellerin unter Beilage der Doppel von act. 13 und act. 14/2‒7, sowie an das Grundbuchamt D._____.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125'427.55. Die gesetzlichen Fristenstillstände gelten nicht (Art. 46 Abs. 2 BGG).</w:t>
      </w:r>
    </w:p>
    <w:p>
      <w:r>
        <w:t>- 9 - Zürich, 20. September 2024 HANDELSGERICHT DES KANTONS ZÜRICH Einzelgericht Die Gerichtsschreiberin: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