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HE240124 vom 8. Oktober 2024</w:t>
      </w:r>
    </w:p>
    <w:p>
      <w:r>
        <w:t>Zh Handelsgericht, 2024-10-08, DE</w:t>
      </w:r>
    </w:p>
    <w:p>
      <w:r>
        <w:rPr>
          <w:b/>
        </w:rPr>
        <w:t xml:space="preserve">Quelle: </w:t>
      </w:r>
      <w:r>
        <w:t>https://mcp.opencaselaw.ch/entscheid/zh_handelsgericht_HE240124</w:t>
      </w:r>
    </w:p>
    <w:p>
      <w:r>
        <w:t>FR: ZH_HANDELSGERICHT HE240124 du 8 octobre 2024</w:t>
      </w:r>
    </w:p>
    <w:p>
      <w:r>
        <w:t>IT: ZH_HANDELSGERICHT HE240124 del 8 ottobre 2024</w:t>
      </w:r>
    </w:p>
    <w:p>
      <w:pPr>
        <w:pStyle w:val="Heading2"/>
      </w:pPr>
      <w:r>
        <w:t>Erwägungen</w:t>
      </w:r>
    </w:p>
    <w:p>
      <w:r>
        <w:rPr>
          <w:b/>
        </w:rPr>
        <w:t>E. 3</w:t>
      </w:r>
    </w:p>
    <w:p>
      <w:r>
        <w:t>Voraussetzungen</w:t>
      </w:r>
    </w:p>
    <w:p>
      <w:r>
        <w:rPr>
          <w:b/>
        </w:rPr>
        <w:t>E. 3.1</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w:t>
      </w:r>
    </w:p>
    <w:p>
      <w:r>
        <w:rPr>
          <w:b/>
        </w:rPr>
        <w:t>E. 3.2</w:t>
      </w:r>
    </w:p>
    <w:p>
      <w:r>
        <w:t>Geht es lediglich um die vorläufige Eintragung des Pfandrechts, so muss die Gesuchstellerin ihr Begehren nur glaubhaft machen. An die Glaubhaftmachung sind nach konstanter Lehre und Praxis keine strengen Anforderungen zu stellen: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w:t>
      </w:r>
    </w:p>
    <w:p>
      <w:r>
        <w:rPr>
          <w:b/>
        </w:rPr>
        <w:t>E. 3.3</w:t>
      </w:r>
    </w:p>
    <w:p>
      <w:r>
        <w:t>Das vorliegend anwendbare reduzierte Beweismass der Glaubhaftmachung führt nach bundesgerichtlicher Rechtsprechung indessen nicht dazu, dass auch die Anforderungen an die Behauptungs- und Substantiierungslast herabgesetzt sind.</w:t>
      </w:r>
    </w:p>
    <w:p>
      <w:r>
        <w:t>- 4 - Müssen die behaupteten Tatsachen in einem solchen Verfahren wegen des redu- zierten Beweismasses nicht strikte bewiesen werden, sondern lediglich glaubhaft gemacht werden, so folgt allein daraus keineswegs, dass überhaupt keine Be- weisabnahme stattfände und in der Folge – als Voraussetzung der Beweisab- nahme – auch das Erfordernis eines hinreichend detaillierten Tatsachenvortrags entfiele (Urteile des BGer 5A_144/2024 vom 22. Mai 2024 E. 4.3.2 und 5A_280/2021 vom 17. Juni 2022 E. 3.4.3.).</w:t>
      </w:r>
    </w:p>
    <w:p>
      <w:r>
        <w:rPr>
          <w:b/>
        </w:rPr>
        <w:t>E. 4</w:t>
      </w:r>
    </w:p>
    <w:p>
      <w:r>
        <w:t>Frist</w:t>
      </w:r>
    </w:p>
    <w:p>
      <w:r>
        <w:rPr>
          <w:b/>
        </w:rPr>
        <w:t>E. 4.1</w:t>
      </w:r>
    </w:p>
    <w:p>
      <w:r>
        <w:t>Die Gesuchstellerin stellt sich auf den Standpunkt, dass sich aus der gesell- schaftsinternen Korrespondenz vom 25. und 26. März 2024 ergebe, dass vom 25. März bis und mit am 28. März 2024 noch diverse Arbeiten auf dem streitgegen- ständlichen Grundstück erledigt worden seien. Ausserdem seien bis zum 30. März 2024 die Arbeiten fertiggestellt und die Aufräumarbeiten auf der Baustelle erledigt worden. Demnach seien die Arbeiten am 30. März 2024, im Zweifelsfall am 28. März 2024 vollendet worden (act. 1 Rz. II. 2).</w:t>
      </w:r>
    </w:p>
    <w:p>
      <w:r>
        <w:rPr>
          <w:b/>
        </w:rPr>
        <w:t>E. 4.2</w:t>
      </w:r>
    </w:p>
    <w:p>
      <w:r>
        <w:t>Die Gesuchsgegnerin bestreitet, dass die letzten Arbeiten innerhalb der vier- monatigen Frist vor superprovisorischer Eintragung des Bauhandwerkerpfand- rechts erfolgt seien. Die eingereichten Chatverläufe seien teils undatiert, unklar hin- sichtlich Absender und Empfänger und würden keinen eindeutigen Zusammenhang zur betroffenen Liegenschaft aufweisen. Es sei zudem nicht ersichtlich, wann das im Chatverlauf enthaltene Foto aufgenommen worden sei. Auch seien die hand- schriftlichen Notizen weder visiert noch ausreichend erläutert worden (act. 11 Rz. 2).</w:t>
      </w:r>
    </w:p>
    <w:p>
      <w:r>
        <w:rPr>
          <w:b/>
        </w:rPr>
        <w:t>E. 4.3</w:t>
      </w:r>
    </w:p>
    <w:p>
      <w:r>
        <w:t>Nach Art. 839 Abs. 2 ZGB hat die Eintragung bis spätestens vier Monate nach der Vollendung der Arbeit zu erfolgen. Nach bundesgerichtlicher Rechtsprechung beginnt die Frist dann, wenn alle Verrichtungen, die Gegenstand des Werkvertrags bilden, ausgeführt sind. Von den geschuldeten Arbeiten sollen jene auszunehmen sein, also keine Vollendungsarbeiten mehr sein, die geringfügig, nebensächlich oder nur der Ausbesserung oder Vervollkommnung dienen, nicht aber jene, die für</w:t>
      </w:r>
    </w:p>
    <w:p>
      <w:r>
        <w:t>- 5 - die Werkvollendung unerlässlich sind (BGE 125 III 113 E. 2b; Urteile des BGer 5A_144/2024 vom 22.5.2024 E. 4.1 und 5A_109/2022 vom 15.9.2022 E. 2.2).</w:t>
      </w:r>
    </w:p>
    <w:p>
      <w:r>
        <w:rPr>
          <w:b/>
        </w:rPr>
        <w:t>E. 4.4</w:t>
      </w:r>
    </w:p>
    <w:p>
      <w:r>
        <w:t>Die Gesuchstellerin erwähnt einzig konkret, dass bis zum 30. März 2024 "Ar- beiten fertiggestellt" und "Aufräumarbeiten auf der Baustelle erledigt" worden seien. Bei Arbeiten, die lediglich noch der Vervollkommnung dienen, wie Aufräumarbeiten, handelt es sich um geringfügige Arbeiten, die nicht fristauslösend wirken. Der Ge- suchstellerin gelingt es daher nicht, darzutun, dass letzte fristauslösende Arbeiten bis zum 30. März 2024 geleistet worden sind.</w:t>
      </w:r>
    </w:p>
    <w:p>
      <w:r>
        <w:rPr>
          <w:b/>
        </w:rPr>
        <w:t>E. 4.5</w:t>
      </w:r>
    </w:p>
    <w:p>
      <w:r>
        <w:t>Die Gesuchstellerin behauptet zudem, dass vom 25. März 2024 bis und mit am 28. März 2024 "diverse Arbeiten" auf dem streitgegenständlichen Grundstück erbracht worden seien. Aus dem Tatsachenvortrag der Gesuchstellerin ergibt sich nicht, welche Vollendungsarbeiten sie konkret zwischen dem 25. März 2024 und dem 28. März 2024 erbracht haben soll. Das reduzierte Beweismass des Glaub- haftmachens führt nicht dazu, dass Behauptungen weniger substantiiert werden müssten (vgl. vorstehend Ziff. 3.3). Der Tatsachenvortrag der Gesuchstellerin er- weist sich daher als unsubstantiiert. Selbst wenn von einem genügend substanti- ierten Tatsachenvortrag auszugehen wäre, ergäbe sich auch aus der von der Ge- suchstellerin offerierten Geschäftskorrespondenz nicht, um welche Vollendungsar- beiten es sich gehandelt haben soll bzw. wann diese vorgenommen worden sein sollen. Bei der von der Gesuchstellerin offerierten Geschäftskorrespondenz handelt es sich nämlich um einen Whatsapp Chatverlauf mit Fotos eines Dokuments und diversen Fotos eines Notizblockes mit handschriftlichen Notizen darauf (vgl. act. 3/6). Weder aus dem Foto des Dokuments noch aus den Fotos des Notizblo- ckes ergeben sich die Art der Arbeiten bzw. der Zeitpunkt der Leistungen. Es han- delt sich dabei vermutungsweise um die Auflistung der Mitarbeiter und deren Zu- ordnung zu Baustellen bzw. zu Transportfahrzeugen. Die Art der Arbeiten bzw. der Zeitpunkt ihrer Verrichtung wird daraus in keiner Weise ersichtlich. Wie die Ge- suchsgegnerin zu Recht vorbringt (act. 11 Rz. 2), ist dabei zudem kein Zusammen- hang zur streitgegenständlichen Liegenschaft ersichtlich. Eine genauere Einteilung – so wie es die Gesuchstellerin behauptet (act. 1 Rz. II. 2.) – lässt sich daraus auch</w:t>
      </w:r>
    </w:p>
    <w:p>
      <w:r>
        <w:t>- 6 - nicht ableiten. Folglich legt die Gesuchstellerin nicht substantiiert dar, welche Ar- beiten bis wann und wo geleistet wurden, mithin fristauslösend waren.</w:t>
      </w:r>
    </w:p>
    <w:p>
      <w:r>
        <w:rPr>
          <w:b/>
        </w:rPr>
        <w:t>E. 4.6</w:t>
      </w:r>
    </w:p>
    <w:p>
      <w:r>
        <w:t>Zusammenfassend ist festzuhalten, dass es der Gesuchstellerin nicht gelingt, darzulegen, dass sie vom 25. März 2024 bis und mit am 28. März 2024 bzw. bis zum 30. März 2024 Vollendungsarbeiten, die fristauslösende Wirkung entfalten, ge- leistet hat. Damit fehlt es an der Einhaltung der Viermonatsfrist und sind die weite- ren Anspruchsvoraussetzungen nicht mehr zu prüfen.</w:t>
      </w:r>
    </w:p>
    <w:p>
      <w:r>
        <w:rPr>
          <w:b/>
        </w:rPr>
        <w:t>E. 4.7</w:t>
      </w:r>
    </w:p>
    <w:p>
      <w:r>
        <w:t>Im Ergebnis ist das Gesuch abzuweisen. Das Grundbuchamt ist anzuweisen, das mit Verfügung vom 26. Juli 2024 vorläufig im Grundbuch eingetragene Pfand- recht nach unbenutztem Ablauf der Rechtsmittelfrist zu löschen.</w:t>
      </w:r>
    </w:p>
    <w:p>
      <w:r>
        <w:rPr>
          <w:b/>
        </w:rPr>
        <w:t>E. 5</w:t>
      </w:r>
    </w:p>
    <w:p>
      <w:r>
        <w:t>Kosten- und Entschädigungsfolgen</w:t>
      </w:r>
    </w:p>
    <w:p>
      <w:r>
        <w:rPr>
          <w:b/>
        </w:rPr>
        <w:t>E. 5.1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180'840.50 auszugehen, wo- bei die Gerichtsgebühr in Anwendung des Äquivalenzprinzips und von § 4 Abs. 1 und 2 sowie § 8 Abs. 1 GebV OG auf CHF 5'500.– festzusetzen ist.</w:t>
      </w:r>
    </w:p>
    <w:p>
      <w:r>
        <w:rPr>
          <w:b/>
        </w:rPr>
        <w:t>E. 5.2</w:t>
      </w:r>
    </w:p>
    <w:p>
      <w:r>
        <w:t>Die Gesuchsgegnerin ist nicht anwaltlich vertreten und begründet ihren sinn- gemässen Antrag auf Entschädigung nicht weiter (vgl. act. 11 S. 2); daher ist ihr keine Umtriebsentschädigung zuzusprechen (vgl. Art. 95 Abs. 3 lit. c ZPO; BGE 139 III 334 E. 4.3).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