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HE240117 vom 20. September 2024</w:t>
      </w:r>
    </w:p>
    <w:p>
      <w:r>
        <w:t>Zh Handelsgericht, 2024-09-20, DE</w:t>
      </w:r>
    </w:p>
    <w:p>
      <w:r>
        <w:rPr>
          <w:b/>
        </w:rPr>
        <w:t xml:space="preserve">Quelle: </w:t>
      </w:r>
      <w:r>
        <w:t>https://mcp.opencaselaw.ch/entscheid/zh_handelsgericht_HE240117</w:t>
      </w:r>
    </w:p>
    <w:p>
      <w:r>
        <w:t>FR: ZH_HANDELSGERICHT HE240117 du 20 septembre 2024</w:t>
      </w:r>
    </w:p>
    <w:p>
      <w:r>
        <w:t>IT: ZH_HANDELSGERICHT HE240117 del 20 settembre 2024</w:t>
      </w:r>
    </w:p>
    <w:p>
      <w:pPr>
        <w:pStyle w:val="Heading2"/>
      </w:pPr>
      <w:r>
        <w:t>Erwägungen</w:t>
      </w:r>
    </w:p>
    <w:p>
      <w:r>
        <w:rPr>
          <w:b/>
        </w:rPr>
        <w:t>E. 18</w:t>
      </w:r>
    </w:p>
    <w:p>
      <w:r>
        <w:t>Juli 2024 auf CHF 100'000.– und ab dem 18. August 2024 auf CHF 116'951.32. 2. Der Gesuchstellerin wird eine Frist bis 22. November 2024 angesetzt, um eine Klage auf definitive Eintragung des Pfandrechts gegen die Gesuchs- gegnerin anzuheben. Bei Säumnis kann die Gesuchsgegnerin den vorläufi- gen Eintrag (Dispositiv-Ziffer 1) löschen lassen. 3. Die Gerichtsgebühr beträgt CHF 13'000.–. Allfällige noch nicht in Rechnung gestellte Kosten des Grundbuchamts blei- ben vorbehalten. 4. Die Kosten gemäss Dispositiv-Ziffer 3 werden von der Gesuchstellerin bezo- gen. Vorbehalten bleibt der endgültige Entscheid des Gerichts im nachfol- genden ordentlichen Verfahren. Für den Fall, dass die Gesuchstellerin innert</w:t>
      </w:r>
    </w:p>
    <w:p>
      <w:r>
        <w:t>- 17 -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Klage, wird sie verpflichtet, der Gesuchsgegnerin eine Parteientschädigung von CHF 13'000.– zu bezahlen. 6. Schriftliche Mitteilung an die Parteien, an die Gesuchstellerin unter Beilage des Doppels von act. 13, sowie an das Grundbuchamt C._____.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1'135'562.72. Die gesetzlichen Fristenstillstände gelten nicht (Art. 46 Abs. 2 BGG). Zürich, 20. September 2024 HANDELSGERICHT DES KANTONS ZÜRICH Einzelgericht Gerichtsschreiber: Dr. Severin Harisberger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