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ZH_HANDELSGERICHT HE240109 vom 12. Juli 2024</w:t>
      </w:r>
    </w:p>
    <w:p>
      <w:r>
        <w:t>Zh Handelsgericht, 2024-07-12, DE</w:t>
      </w:r>
    </w:p>
    <w:p>
      <w:r>
        <w:rPr>
          <w:b/>
        </w:rPr>
        <w:t xml:space="preserve">Quelle: </w:t>
      </w:r>
      <w:r>
        <w:t>https://mcp.opencaselaw.ch/entscheid/zh_handelsgericht_HE240109</w:t>
      </w:r>
    </w:p>
    <w:p>
      <w:r>
        <w:t>FR: ZH_HANDELSGERICHT HE240109 du 12 juillet 2024</w:t>
      </w:r>
    </w:p>
    <w:p>
      <w:r>
        <w:t>IT: ZH_HANDELSGERICHT HE240109 del 12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11. Juli 2024 stellte die Gesuchstellerin ein Gesuch um An- ordnung vorsorglicher Massnahmen ohne Anhörung der Gegenpartei mit folgenden Begehren (act. 1 S. 2 f.): "1. Es sei der Gesuchsgegnerin im Sinne einer vorsorglichen Mass- nahme und unter Androhung der Bestrafung der verantwortlichen Organe nach Art. 292 StGB im Widerhandlungsfalle zu befehlen, innert 3 Werktagen: a. den Betrag von USD 373'159.22 vom Konto der Gesuchstel- lerin (IBAN CH1) bei der Gesuchsgegnerin auf das Konto Nr. 2, lautend auf C._____, c/o D._____, bei der Bank E._____, … [Adresse], SWIFT: …, ABA Code: 3, mit der Referenz: "On behalf of F._____ Limited; Invoices/requests No. 27a (USD) dated 24th May 2024" zu überweisen; und b. den Betrag von EUR 178'635.35 vom Konto der Gesuchstel- lerin (IBAN CH1) bei der Gesuchsgegnerin auf das Konto Nr. 4, lautend auf C._____, c/o D._____, SWIFT: …, Attn FX dept Do not convert (essential), bei der Bank E._____, … [Adresse], mit der Referenz: "On behalf of F._____ Limited; Invoices/requests No. 27B (EUR) dated 24th May 2024" zu überweisen.</w:t>
      </w:r>
    </w:p>
    <w:p>
      <w:r>
        <w:rPr>
          <w:b/>
        </w:rPr>
        <w:t>E. 2</w:t>
      </w:r>
    </w:p>
    <w:p>
      <w:r>
        <w:t>Es sei der Gesuchsgegnerin im Sinne einer vorsorglichen Mass- nahme und unter Androhung der Bestrafung der verantwortlichen Organe nach Art. 292 StGB im Widerhandlungsfalle zu befehlen, Zahlungen gemäss den Funding Requests der Gesuchstellerin un- ter der Lizenz Nr. 5 des Office of Financial Sanc-tions Implementation, ausgestellt am 16. September 2022 und zuletzt geändert am 4. Juli 2024, jeweils innert 10 Werktagen auszuführen.</w:t>
      </w:r>
    </w:p>
    <w:p>
      <w:r>
        <w:rPr>
          <w:b/>
        </w:rPr>
        <w:t>E. 3</w:t>
      </w:r>
    </w:p>
    <w:p>
      <w:r>
        <w:t>Die Anordnungen gemäss Rechtsbegehren Ziff. 1 seien super- provisorisch und ohne Anhörung der Gesuchsgegnerin zu erlas- sen.</w:t>
      </w:r>
    </w:p>
    <w:p>
      <w:r>
        <w:rPr>
          <w:b/>
        </w:rPr>
        <w:t>E. 4</w:t>
      </w:r>
    </w:p>
    <w:p>
      <w:r>
        <w:t>Die Gesuchstellerin macht zusammenfasst geltend, seit dem Jahr 2018 in ei- ner Bankbeziehung zur Gesuchsgegnerin (bzw. bis im Mai 2024 zur G._____ AG) zu stehen. Die von der Gesuchstellerin, einem "Anlagevehikel" mit Sitz auf den Bri- tischen Jungferninseln, erwirtschafteten Erträge würden unter anderem zur Finan- zierung der laufenden Kosten für den Betrieb der C'._____ (fortan "C._____") ver- wendet. Die C._____ stehe im Eigentum der Gesellschaft F._____s Limited. Eigen- tümer und wirtschaftlich Berechtigter der Gesuchstellerin sei H._____, ein US- und UK-Doppelbürger, der am tt. März 2022 in die Sanktionsliste des Vereinigten Kö- nigreichs im Zusammenhang mit dem Krieg in der Ukraine (fortan "UK Sanktions- liste") aufgenommen worden sei. Dies habe zur Folge, dass sämtliche weltweiten Vermögenswerte von H._____, einschliesslich der Bankkonten der Gesuchstellerin bei der Gesuchsgegnerin, grundsätzlich gesperrt seien. Das zuständige britische Office of Financial Sanctions Implementation (fortan OFSI) habe der Gesuchstel- lerin am tt. September 2022 eine (seither mehrfach, letztmals bis tt. Juni 2025 ver- längerte) Ausnahmelizenz erteilt, gemäss welcher es der Gesuchstellerin erlaubt sei, die notwendige Wartung und Instandhaltung der C._____ zu finanzieren (act. 1 Rz. 1 ff., 66). Die Gesuchstellerin übermittle jeweils einen nummerierten Funding Request an die Gesuchsgegnerin mit der Instruktion, eine unter der OFSI-Lizenz erlaubte Zahlung</w:t>
      </w:r>
    </w:p>
    <w:p>
      <w:r>
        <w:t>- 4 - für die in der jeweiligen Liste aufgeführten Beträge für Lohnzahlungen, Unterhalt der C._____ usf. zu leisten. Während die durchschnittliche Bearbeitungsdauer ei- nes Funding Requests im 2022 noch 8 Tage betragen habe, habe sich diese im 2023 auf durchschnittlich 18.3 Tage verlängert, was zu erheblichen Verzögerungen bei der Begleichung von Lohnkosten der Crew, Gebühren und Instandhaltungskos- ten geführt habe. Seit Beginn des Jahres 2024 benötige die Gesuchsgegnerin nun- mehr durchschnittlich 26.6 Tage, um die Zahlungen auszuführen, obschon die Vor- gehensweise eingespielt und die Zahlungen unter den Funding Requests wieder- kehrenden Charakter hätten (act. 1 Rz. 4 f.). Gegenwärtig verzögere die Gesuchs- gegnerin seit nunmehr sieben Wochen insbesondere die Auszahlung von zwei Fun- ding Requests vom 24. Mai 2024 (vgl. Rechtsbegehren Ziff. 1 a und b), was gravie- rende Konsequenzen nach sich ziehen könnte bzw. nach sich ziehe (Kündigung von wichtigen Crew-Mitgliedern, Unterbesetzung der Crew, fehlende Gewährleis- tung des Unterhalts der C._____ usf.; act. 1 Rz. 4 ff.). 5.1. Die Gesuchstellerin beantragt gestützt darauf, es sei der Gesuchstellerin zu befehlen, den Betrag von USD 373'159.22 sowie von EUR 178'635.22 auf ein Konto der C._____ zu überweisen (Rechtsbegehren Ziff. 1) sowie den Organen der Gesuchstellerin zu befehlen, Zahlungen gemäss ihren Funding Requests jeweils innert 10 Werktagen auszuführen (Rechtsbegehren Ziff. 2; act. 1 S. 2). 5.2. Art. 262 ZPO enthält eine beispielhafte Aufzählung von im Rahmen von vor- sorglichen Massnahmen möglichen Anordnungen. Dabei handelt es sich in erster Linie um Sicherungsmassnahmen (Anordnung eines Verbotes) und Regelungs- massnahmen (Beseitigung eines rechtswidrigen Zustandes, Anweisung an eine Registerbehörde). Die Anordnung von Leistungsmassnahmen ist ebenfalls mög- lich. Da Leistungsmassnahmen in intensiver Weise in die Rechte der Gegenpartei eingreifen und nicht den definitiven Entscheid vorwegnehmen sollen (BGE 5A_687/2015 E 4.3: Präjudizierungsverbot), ist bei ihrer Anordnung Zurück- haltung zu üben (BGE 138 III 378 E 6.4; 133 III 360 E 9.2.1). Ihre Anordnung ist nur unter erhöhten Anforderungen an Hauptsache- und Nachteilsprognose zulässig (BGer 4A_427/2021 v. 20.12.2021 E. 5.2; ZR 113 Nr. 33 E. 7; ZR 85 Nr. 38; ZR 80 Nr. 43; vgl. BGE 133 III 360 E. 9.2.1; ZK ZPO-Huber ZPO 262 N 15).</w:t>
      </w:r>
    </w:p>
    <w:p>
      <w:r>
        <w:t>- 5 - 5.3. Für die Anordnung von vorsorglichen Geldzahlungen sieht das Gesetz noch einmal verschärfte Voraussetzungen vor: Gemäss Art. 262 lit. e ZPO und herr- schender Auffassung kann die vorläufige Leistung von Geld ausser in den vom Ge- setz bestimmten Fällen (insbesondere familienrechtliche Unterhaltsverpflichtun- gen) nicht Gegenstand einer Leistungsmassnahme sein (vgl. BGE 113 II 465 E. 2 = Pra 1989 Nr. 260; 79 II 288; 74 II 51; ZR 2001 Nr. 65; BSK ZPO-Sprecher, Art. 262 N 9). 5.4. Die Gesuchstellerin beantragt vorliegend, es sei der Gesuchsgegnerin zu be- fehlen, Zahlungsüberweisungen auszuführen. Damit macht sie einen Erfüllungsan- spruch aus dem Kontovertrag geltend und verlangt die Zusprechung einer Geld- leistung. Dies gilt auch in Bezug auf ihr Rechtsbegehren Ziff. 2. Auch wenn dieses anders als das gesuchstellerische Rechtsbegehren Ziff. 1 nicht auf eine bezifferte Geldsumme lautet, verfolgt es denselben Zweck wie Rechtsbegehren Ziff. 1 für künftige Funding Requests. Der Erlass dies Anordnungen ist damit nur möglich, wenn ein gesetzlich angeordneter Ausnahmefall vorliegt (Art. 262 lit. e ZPO). Ein solcher Ausnahmefall wurde nicht dargetan (act. 1 Rz. 125 ff.) und ist auch nicht ersichtlich, weshalb das Massnahmebegehren schon aus diesem Grund abzuwei- sen ist.</w:t>
      </w:r>
    </w:p>
    <w:p>
      <w:r>
        <w:rPr>
          <w:b/>
        </w:rPr>
        <w:t>E. 6</w:t>
      </w:r>
    </w:p>
    <w:p>
      <w:r>
        <w:t>Im Übrigen wäre ohne auch das Vorliegen eines nicht leicht wiedergutzuma- chenden Nachteils sowie der Dringlichkeit zu verneinen. Die Gesuchstellerin be- gründet den drohenden Nachteil mit einer Gefährdung der C._____ . Nach den Aus- führungen der Gesuchstellerin steht die C._____ jedoch im Eigentum einer Drittge- sellschaft, der F._____s Limited, mit der sie ein Darlehensvertrag verbinde (act. 1 Rz. 20). Ein Nachteil (prekäre Unterfinanzierung und Unterbesetzung der C._____, drohende Kündigungen von Crew-Mitgliedern, künftige Rekrutierungsschwierigkei- ten, potentielles Schadensrisiko aufgrund der erwarteten Schwere der Hurrikansai- son, drohende Umweltschäden, act. 1 Rz. 79 ff.; 111, 118 f.) würde sich demnach im Vermögen der Drittgesellschaft F._____s Limited verwirklichen. Für die Gesuch- stellerin selbst droht nur eine Verletzung des Darlehensvertrags mit der F._____s Limited. Es erscheint fraglich, ob ein solcher, sich im Vermögen eines Dritten reali- sierender bzw. bloss mittelbar eintretender Nachteil die Anforderungen von Art. 261</w:t>
      </w:r>
    </w:p>
    <w:p>
      <w:r>
        <w:t>- 6 - Abs. 1 lit. b ZPO erfüllt. Unabhängig davon legt die Gesuchstellerin aber nicht oh- nehin nicht dar, dass die zwingend notwendigen Ausgaben für die C._____ von der F._____s Limited nicht auch auf andere Weise als durch Beanspruchung des Dar- lehnsvertrags mit der Gesuchstellerin finanziert werden können. Damit fehlt es an einem nicht leicht wiedergutzumachenden Nachteil.</w:t>
      </w:r>
    </w:p>
    <w:p>
      <w:r>
        <w:rPr>
          <w:b/>
        </w:rPr>
        <w:t>E. 7</w:t>
      </w:r>
    </w:p>
    <w:p>
      <w:r>
        <w:t>Schliesslich wurde auch eine Dringlichkeit nicht glaubhaft gemacht: Nach ei- gener Darstellung der Gesuchstellerin hat sich die zunehmend längere Bearbei- tungsdauer ihrer Request Funds seit dem Jahr 2023 abgezeichnet (act. 1 Rz. 55). Der diesbezüglichen Aufstellung der Gesuchstellerin (act. 1 Rz. 54 S. 24 ff.) ist zu entnehmen, dass die Bearbeitungsdauer bereits im ersten Halbjahr 2023 bis zu 53 Tage betragen habe, mithin länger, als bezüglich der Funding Requests gemäss Rechtsbegehren Ziff. 1 aktuell der Fall sei (act. 1 Rz. 131). Vor diesem Hintergrund wurde eine besondere Dringlichkeit im Sinne von Art. 265 ZPO nicht glaubhaft ge- macht. Dies hat umso mehr für Rechtsbegehren Ziff. 2 zu geltend, welches einzig auf künftige Auszahlungen zielt. 8.1. Gesamthaft ist das Dringlichkeitsbegehren sowohl superprovisorisch als auch vorsorglich abzuweisen. Gemäss gesuchstellerischer Bezifferung beträgt der Streitwert mindestens USD 373'159.22 und EUR 178'635.35 (act. 1 Rz. 13), was CHF 508'619.– entspricht (USD 373'159.22 = CHF 334'695.–; EUR 178'635.35 = CHF 173'924.–; je gemäss Wechselkurs vom 12. Juli 2024). Die gesuchstellerische Streitwertbezifferung entspricht damit dem Rechtsbegehren Ziff. 1. Für das Rechts- begehren Ziff. 2 ist der Streitwert in derselben Höhe anzusetzen. Es ergibt sich ein Streitwert von CHF 1'017'237.– (Art. 93 Abs. 1 ZPO). Die Gerichtsgebühr ist in An- wendung von § 4 Abs. 1 und 2 sowie § 8 Abs. 1 GebV OG auf CHF 15'000.– fest- zusetzen. Ausgangsgemäss ist sie der Gesuchstellerin aufzuerlegen (Art. 106 ZPO). Mangels Umtrieben ist der Gesuchsgegnerin keine Parteientschädigung zu- zusprechen. 8.2. Die Gesuchstellerin beantragt die Gewährung der unentgeltlichen Rechts- pflege (act. 1 Rz. 136 ff.). Juristische Personen wie die Gesuchstellerin können grundsätzlich keine unentgeltliche Rechtspflege beanspruchen (BGE 143 II E. 3). Dass die diesbezüglichen Ausnahmevoraussetzungen erfüllt sind, ist weder darge-</w:t>
      </w:r>
    </w:p>
    <w:p>
      <w:r>
        <w:t>- 7 - tan noch ersichtlich. Ausgangsgemäss erweist sich das Gesuchs zudem ohnehin als aussichtslos (Art. 117 lit. b ZPO). Es ist demnach abzuweisen. Das Einzelgericht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