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HE240065 vom 7. Oktober 2024</w:t>
      </w:r>
    </w:p>
    <w:p>
      <w:r>
        <w:t>Zh Handelsgericht, 2024-10-07, DE</w:t>
      </w:r>
    </w:p>
    <w:p>
      <w:r>
        <w:rPr>
          <w:b/>
        </w:rPr>
        <w:t xml:space="preserve">Quelle: </w:t>
      </w:r>
      <w:r>
        <w:t>https://mcp.opencaselaw.ch/entscheid/zh_handelsgericht_HE240065</w:t>
      </w:r>
    </w:p>
    <w:p>
      <w:r>
        <w:t>FR: ZH_HANDELSGERICHT HE240065 du 7 octobre 2024</w:t>
      </w:r>
    </w:p>
    <w:p>
      <w:r>
        <w:t>IT: ZH_HANDELSGERICHT HE240065 del 7 ottobre 2024</w:t>
      </w:r>
    </w:p>
    <w:p>
      <w:pPr>
        <w:pStyle w:val="Heading2"/>
      </w:pPr>
      <w:r>
        <w:t>Erwägungen</w:t>
      </w:r>
    </w:p>
    <w:p>
      <w:r>
        <w:rPr>
          <w:b/>
        </w:rPr>
        <w:t>E. 9</w:t>
      </w:r>
    </w:p>
    <w:p>
      <w:r>
        <w:t>Schriftliche Mitteilung an die Parteien und an das Grundbuchamt Zürich (C._____) sowie nach unbenutztem Ablauf der Rechtsmittelfrist an die Ober- gerichtskasse des Kantons Zürich.</w:t>
      </w:r>
    </w:p>
    <w:p>
      <w:r>
        <w:rPr>
          <w:b/>
        </w:rPr>
        <w:t>E. 10</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i.V.m. Art. 42 und 90 ff. des Bundesgesetzes über das Bundesgericht (BGG). Der Streitwert beträgt CHF 162'983.70. Die gesetzlichen Fristenstillstände gelten nicht (Art. 46 Abs. 2 BGG). Zürich, 7. Oktober 2024 HANDELSGERICHT DES KANTONS ZÜRICH Einzelgericht Der Gerichtsschreiber: Rade Kokanović</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