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HE240022 vom 10. April 2024</w:t>
      </w:r>
    </w:p>
    <w:p>
      <w:r>
        <w:t>Zh Handelsgericht, 2024-04-10, DE</w:t>
      </w:r>
    </w:p>
    <w:p>
      <w:r>
        <w:rPr>
          <w:b/>
        </w:rPr>
        <w:t xml:space="preserve">Quelle: </w:t>
      </w:r>
      <w:r>
        <w:t>https://mcp.opencaselaw.ch/entscheid/zh_handelsgericht_HE240022</w:t>
      </w:r>
    </w:p>
    <w:p>
      <w:r>
        <w:t>FR: ZH_HANDELSGERICHT HE240022 du 10 avril 2024</w:t>
      </w:r>
    </w:p>
    <w:p>
      <w:r>
        <w:t>IT: ZH_HANDELSGERICHT HE240022 del 10 aprile 2024</w:t>
      </w:r>
    </w:p>
    <w:p>
      <w:pPr>
        <w:pStyle w:val="Heading2"/>
      </w:pPr>
      <w:r>
        <w:t>Erwägungen</w:t>
      </w:r>
    </w:p>
    <w:p>
      <w:r>
        <w:rPr>
          <w:b/>
        </w:rPr>
        <w:t>E. 8</w:t>
      </w:r>
    </w:p>
    <w:p>
      <w:r>
        <w:t>August 2022 in einem ungekündigten Arbeitsverhältnis zur Gesuchsgegnerin (act. 1 Rz. 11; act. 3/3). Die Gesuchsgegnerin stellte die Lohnzahlungen gegen- über dem Gesuchsteller per März 2023 vollumfänglich ein (act. 1 Rz. 11). Ein am 29. Juni 2023 eingeleitetes Schlichtungsverfahren führte zu keiner Einigung, da die Gesuchsgegnerin der Schlichtungsverhandlung vom 28. August 2023 fernblieb (act. 1 Rz. 11; act. 3/4). Mit Eingabe vom 11. Dezember 2023 reichte der Gesuch- steller ein Betreibungsbegehren gegen die Gesuchsgegnerin über einen Betrag von CHF 38'218.95 zuzüglich Zins zu 4.1 % seit 1. März 2023 beim Betreibungsamt Thalwil-Rüschlikon-Kilchberg ein; als Forderungsgrund gab er "Lohnfortzahlung und Krankentaggelder von März 2023 - Dezember 2023" an (act. 1 Rz. 12; act. 3/5). Das Betreibungsamt wies das Betreibungsbegehren am 14. Dezember 2023 ab, da das einzige Mitglied der Geschäftsführung der Gesuchsgegnerin ge- mäss Gemeindepolizei und Einwohnerkontrolle C._____ nicht mehr an dem im Handelsregister eingetragenen Ort wohnhaft und seit 31. Dezember 2022 als nach unbekannt weggezogen abgemeldet sei (act. 1 Rz. 12; act. 3/6). 3. Formelles Die örtliche Zuständigkeit stützt sich auf Art. 10 Abs. 1 lit. b ZPO. Die sachliche Zuständigkeit des Einzelgerichts am Handelsgericht ergibt sich aus § 45 lit. c GOG i.V.m. Art. 250 lit. c Ziff. 6 ZPO. Angesichts der wirtschaftlichen Konsequenzen ei- ner möglichen Liquidation der Gesellschaft ist in Verfahren nach Art. 731b OR ohne gegenteilige Anhaltspunkte von einem Streitwert von knapp über CHF 30'000.00 auszugehen (BGer 4A_215/2015 v. 02.10.2015 E. 1.1; 4A_4/2013 v. 13.05.2013 E. 1.1 m.Hw.). Die übrigen Prozessvoraussetzungen sind ebenfalls gegeben.</w:t>
      </w:r>
    </w:p>
    <w:p>
      <w:r>
        <w:t>- 4 - 4. Materielles Gemäss Art. 819 i.V.m. Art. 731b Abs. 1 und 1bis OR kann das Gericht bei Mängeln in der Organisation der Gesellschaft die erforderlichen Massnahmen ergreifen, ins- besondere der Gesellschaft unter Androhung ihrer Auflösung eine Frist ansetzen, binnen derer der rechtmässige Zustand wiederherzustellen ist, das fehlende Organ oder einen Sachwalter ernennen oder die Gesellschaft auflösen und ihrer Liquida- tion nach den Vorschriften über den Konkurs anordnen. 4.1. Als Gläubiger ist der Gesuchsteller antragsberechtigt i.S.v. Art. 731b Abs. 1 OR. 4.2. Bei der Gesuchsgegnerin liegt ein schwerwiegender Organisationsmangel vor. Sie verfügt über keine eingetragene vertretungsberechtigte Person mit Wohnsitz in der Schweiz (Art. 814 Abs. 3 OR) und über kein (gültiges) Domizil (Art. 819 i.V.m. Art. 731b Abs. 1 Ziff. 5 OR). Androhungsgemäss ist die Gesuchs- gegnerin aufzulösen und ihre Liquidation nach den Vorschriften über den Konkurs anzuordnen (Art. 819 i.V.m. Art. 731b Abs. 1bis Ziff. 3 OR). Mildere Massnahmen zur Behebung der Mängel in der Organisation der Gesuchsgegnerin sind nicht er- sichtlich (BGE 138 III 294 E. 3.1.4 S. 298-299). 5. Kosten- und Entschädigungsfolgen 5.1. Bei diesem Ausgang des Verfahrens wird die Gesuchsgegnerin kosten- pflichtig (Art. 106 ZPO). Der Streitwert übersteigt CHF 30'000.00. Die Gerichtsge- bühr ist auf CHF 2'000.00 festzusetzen (§ 4 Abs. 1 i.V.m § 8 Abs. 1 GebV OG). 5.2. Die Gesuchsgegnerin hat dem Gesuchsteller ausserdem die Kosten der be- rufsmässigen Vertretung zu ersetzen (Art. 95 Abs. 3 lit. b ZPO). Die Anwaltsgebühr ist auf CHF 2'500.00 festzusetzen (§ 4 Abs. 1 i.V.m. § 9 AnwGebV). Zufolge Ge- währung der unentgeltlichen Rechtspflege ist die Entschädigung direkt der unent- geltlichen Rechtsbeiständin zuzusprechen (INGRID JENT-SØRENSEN, in: Schweizeri- sche Zivilprozessordnung, Kurzkommentar, hrsg. von Paul Oberhammer/Tanja Do- mej/Ulrich Haas, 3. Aufl. 2021, N. 5 zu Art. 122 ZPO m.Hw.). Die Gesuchsgegnerin</w:t>
      </w:r>
    </w:p>
    <w:p>
      <w:r>
        <w:t>- 5 - ist zu verpflichten, der unentgeltlichen Rechtsbeiständin eine Parteientschädigung von CHF 2'500.00 zu bezahlen. Gemäss Art. 122 Abs. 2 Satz 1 ZPO ist die unentgeltliche Rechtsbeiständin der ob- siegenden Partei vom Kanton angemessen zu entschädigen, wenn die Parteient- schädigung bei der Gegenpartei nicht oder voraussichtlich nicht einbringlich ist. Ge- sellschaften, welche über kein Domizil mehr verfügen und deren Organe nicht mehr erreichbar sind, verfügen notorischerweise nur selten über die erforderlichen Mittel zur Bezahlung einer Prozessentschädigung. Der unentgeltlichen Rechtsbeiständin ist deshalb eine angemessene Entschädigung aus der Gerichtskasse zuzuspre- chen. Die unentgeltliche Rechtsbeiständin hat dem Gericht eine Aufstellung über den Zeitaufwand und die Auslagen vorzulegen; damit kann ein Antrag zur Höhe der beanspruchten Vergütung verbunden werden (§ 23 Abs. 2 AnwGebV). Mit der Be- zahlung der Entschädigung durch die Gerichtskasse geht der Anspruch auf die Par- teientschädigung auf den Kanton über (Art. 122 Abs. 2 Satz 2 ZPO).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