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ZH_HANDELSGERICHT HE230139 vom 5. Januar 2024</w:t>
      </w:r>
    </w:p>
    <w:p>
      <w:r>
        <w:t>Zh Handelsgericht, 2024-01-05, DE</w:t>
      </w:r>
    </w:p>
    <w:p>
      <w:r>
        <w:rPr>
          <w:b/>
        </w:rPr>
        <w:t xml:space="preserve">Quelle: </w:t>
      </w:r>
      <w:r>
        <w:t>https://mcp.opencaselaw.ch/entscheid/zh_handelsgericht_HE230139</w:t>
      </w:r>
    </w:p>
    <w:p>
      <w:r>
        <w:t>FR: ZH_HANDELSGERICHT HE230139 du 5 janvier 2024</w:t>
      </w:r>
    </w:p>
    <w:p>
      <w:r>
        <w:t>IT: ZH_HANDELSGERICHT HE230139 del 5 gennaio 2024</w:t>
      </w:r>
    </w:p>
    <w:p>
      <w:pPr>
        <w:pStyle w:val="Heading2"/>
      </w:pPr>
      <w:r>
        <w:t>Erwägungen</w:t>
      </w:r>
    </w:p>
    <w:p>
      <w:r>
        <w:rPr>
          <w:b/>
        </w:rPr>
        <w:t>E. 23</w:t>
      </w:r>
    </w:p>
    <w:p>
      <w:r>
        <w:t>E. 3.2; BGE 138 III 123 E. 2.1.2). Nach beendetem Mietverhältnis muss die Sa-</w:t>
      </w:r>
    </w:p>
    <w:p>
      <w:r>
        <w:t>- 5 - che gemäss Art. 267 Abs. 1 bzw. Art. 262 Abs. 3 OR der Vermieterin zurückgege- ben werden. Gleichzeitig hat, wer Eigentümer einer Sache ist, gestützt auf Art. 641 Abs. 2 ZGB das Recht, sie von jedem, der sie ihm vorenthält, heraus zu verlangen und jede ungerechtfertigte Einwirkung abzuwehren. Der Mietvertrag zwischen der Gesuchstellerin und der Gesuchsgegnerin 1 endete mit Ablauf der Erstreckungsfrist gemäss Vergleich, der im Verfahren vor dem Miet- gericht geschlossen wurde, d.h. am 31. Oktober 2023. Im Vergleich verpflichtete sich die Gesuchsgegnerin 1 zudem zur Räumung und Rückgabe des Mietobjekts. Selbige Pflicht ergibt sich auch aus Art. 267 Abs. 1 OR sowie Art. 641 Abs. 2 ZGB. Demnach hat die Gesuchstellerin gegenüber der Gesuchsgegnerin 1 einen gericht- lich durchsetzbaren Anspruch auf Räumung und Rückgabe des Mietobjekts. Ent- sprechend ist der Gesuchsgegnerin 1 antragsgemäss zu befehlen, das streitgegen- ständliche Ladenlokal mit Neben- und Lagerräumen unverzüglich ordnungsgemäss geräumt und gereinigt zu verlassen und der Gesuchstellerin zurückzugeben. Die Gesuchsgegnerin 2 macht im vorliegenden Verfahren nicht geltend, einen Miet- vertrag betreffend das Mietobjekt abgeschlossen zu haben, und noch weniger reicht sie einen solchen (schriftlichen) Mietvertrag ein. Ohnehin würde es nicht ge- nügen, wenn die Gesuchsgegnerin 2 sich auf einen Untermietvertrag mit einer Mie- terin (etwa der Gesuchsgegnerin 1 oder der E._____ GmbH) berufen würde. Denn ein solcher Untermietvertrag wäre vom Hauptmietvertrag (der vorliegend zwischen der Gesuchstellerin und der Gesuchsgegnerin 1 bestand) abhängig: Erlischt der Hauptmietvertrag, geht das Gebrauchsrecht des Hauptmieters unter. Sobald sein Gebrauchsrecht untergeht, muss der Untermieter die Mietsache ebenfalls zurück- geben (niemand kann mehr Rechte übertragen, als er selber hat). Andernfalls kann die Vermieterin gestützt auf Art. 641 Abs. 2 ZGB und Art. 262 Abs. 3 OR die Aus- weisung des Untermieters durch das Gericht beantragen. Die Ausweisung kann im gleichen Verfahren wie gegenüber dem Hauptmieter erfolgen. Art. 273b Abs. 1 OR präzisiert im Übrigen, dass der Untermietvertrag nur für die Dauer des Hauptmiet- vertrags erstreckt werden kann. Wenn der Untermieter das Mietobjekt vor dem Ende seines Untermietvertrags zurückgeben muss, kann er von seinem Unterver- mieter allenfalls Schadenersatz für teilweise Nichterfüllung des Vertrags verlangen</w:t>
      </w:r>
    </w:p>
    <w:p>
      <w:r>
        <w:t>- 6 - (zum Ganzen BGE 139 III 353 E. 2.1.2 = Pra 2014 Nr. 38; BGE 120 II 112 E. 3; MÜLLER, in: SVIT-Kommentar, 4. Aufl. 2018, Art. 262 OR N 48 und Art. 267-267a N 28). Vorliegend ging mit Erlöschen des Hauptmietvertrags per 31. Oktober 2023 das Gebrauchsrecht der Gesuchsgegnerin 1 am Mietobjekt unter, womit auch das Gebrauchsrecht allfälliger Untermieterinnen unterging. Auch solche Untermieterin- nen wären deshalb zur Rückgabe des Mietobjekts verpflichtet. Sodann macht die Gesuchstellerin 2 nicht geltend, einen Mietvertrag direkt mit der Gesuchstellerin geschlossen zu haben. Insbesondere erstellt sie auch mit ihren Ausführungen über angebliche Zusagen Herrn F._____s gegenüber der E._____ GmbH nicht, dass dadurch ein Mietvertrag zwischen ihr, der Gesuchsgegnerin 2, und der Gesuchstellerin zustande gekommen wäre. Vielmehr scheinen sich diese Zusagen – wenn schon – darauf beschränkt zu haben, dass Herr F._____ der E._____ GmbH den zukünftigen Abschluss eines Mietvertrags entweder mit der E._____ GmbH oder mit der Gesuchsgegnerin 2 in Aussicht stellte. Eine Einigung zwischen der Gesuchstellerin und der Gesuchsgegnerin 2 darüber, dass die Ge- suchstellerin das Mietobjekt der Gesuchsgegnerin 2 zum Gebrauch überlasse und die Gesuchsgegnerin 2 im Gegenzug einen Mietzins zu leisten habe, wie sie für den Abschluss eines Mietvertrags nötig wäre (Art. 253 OR; BSK OR I-WEBER, Art. 253 N 1), ist nicht zu erkennen. Die Gesuchsgegnerin 2 beantragt denn auch gar nicht die Abweisung des Ge- suchs. Vielmehr bittet sie darum, dass ihr mehr Zeit eingeräumt werde, um eine neue Mietlokalität für ihr Lebensmittelgeschäft zu finden. Diesbezüglich ist aber er- neut auf Art. 273b Abs. 1 OR hinzuweisen, wonach der Untermietvertrag nur für die Dauer des Hauptmietvertrags erstreckt werden kann (wofür das hiesige Gericht oh- nehin nicht zuständig wäre). Zusammengefasst nutzt die Gesuchsgegnerin 2 das Mietobjekt, obschon sie kein solches Gebrauchsrecht hat. Die Gesuchstellerin kann deshalb das Mietobjekt je- denfalls gestützt auf Art. 641 Abs. 2 ZGB von ihr herausverlangen. Mithin hat sie auch gegenüber der Gesuchsgegnerin 2 einen gerichtlich durchsetzbaren An- spruch auf Räumung und Rückgabe des Mietobjekts. Entsprechend ist der Ge- suchsgegnerin 2 antragsgemäss zu befehlen, das streitgegenständliche Ladenlo-</w:t>
      </w:r>
    </w:p>
    <w:p>
      <w:r>
        <w:t>- 7 - kal mit Neben- und Lagerräumen unverzüglich ordnungsgemäss geräumt und ge- reinigt zu verlassen und der Gesuchstellerin zurückzugeben. Die Rechtslage ist klar. Die Gesuchsgegnerinnen 1 und 2 haben das Mietobjekt unverzüglich ordnungsgemäss geräumt und gereinigt zu verlassen und der Ge- suchstellerin zurückzugeben. 5. Vollstreckungsmassnahmen Auf Antrag der obsiegenden Partei ordnet das Gericht Vollstreckungsmassnahmen an (Art. 236 Abs. 3 ZPO und Art. 337 Abs. 1 ZPO). Gemäss Art. 343 Abs. 1 ZPO können bei einem Entscheid auf eine Verpflichtung zu einem Tun direkte oder indi- rekte Vollstreckungsmassnahmen angeordnet werden. Zur Durchsetzung des zu erteilenden Ausweisungsbefehls ist die von der Gesuch- stellerin beantragte Anweisung an die zuständige Vollzugsbehörde, das Stadtam- mann- und Betreibungsamt Zürich 11, den Ausweisungsbefehl auf erstes Verlan- gen der Gesuchstellerin zu vollstrecken, anzuordnen. Diese Anordnung ist zweck- mässig und ausreichend, weitere Vollstreckungsmassnahmen sind nicht notwen- dig. Sie ist aus Gründen der Rechtssicherheit zu befristen. 6. Prozesskosten Ausgangsgemäss werden die Gesuchsgegnerinnen 1 und 2 unter solidarischer Haftbarkeit kosten- und entschädigungspflichtig (Art. 106 Abs. 1 und 3 ZPO). Aus- gehend von einem Streitwert von CHF 15'684.–, was sechs Monatsmieten ent- spricht (BGE 144 III 346 E. 1.2; vgl. act. 1 Rz. 3; act. 3/3; act. 4), ist die Gerichts- gebühr in Anwendung von § 4 sowie § 8 Abs. 1 GebV OG auf CHF 1'900.– festzu- setzen. Die Kosten sind aus dem von der Gesuchstellerin geleisteten Kostenvor- schuss zu decken (Art. 111 Abs. 1 ZPO), wobei der Gesuchstellerin das Rückgriffs- recht auf die solidarisch haftenden Gesuchsgegnerinnen 1 und 2 einzuräumen ist (Art. 111 Abs. 2 ZPO). Die Parteientschädigung für die Gesuchstellerin ist in An- wendung von § 4 Abs. 2 sowie § 9 AnwGebV auf CHF 2'100.– festzusetzen und von den solidarisch haftenden Gesuchsgegnerinnen 1 und 2 zu bezahlen.</w:t>
      </w:r>
    </w:p>
    <w:p>
      <w:r>
        <w:t>- 8 - Das Gericht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