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HE230098 vom 5. Oktober 2023</w:t>
      </w:r>
    </w:p>
    <w:p>
      <w:r>
        <w:t>Zh Handelsgericht, 2023-10-05, DE</w:t>
      </w:r>
    </w:p>
    <w:p>
      <w:r>
        <w:rPr>
          <w:b/>
        </w:rPr>
        <w:t xml:space="preserve">Quelle: </w:t>
      </w:r>
      <w:r>
        <w:t>https://mcp.opencaselaw.ch/entscheid/zh_handelsgericht_HE230098</w:t>
      </w:r>
    </w:p>
    <w:p>
      <w:r>
        <w:t>FR: ZH_HANDELSGERICHT HE230098 du 5 octobre 2023</w:t>
      </w:r>
    </w:p>
    <w:p>
      <w:r>
        <w:t>IT: ZH_HANDELSGERICHT HE230098 del 5 ottobre 2023</w:t>
      </w:r>
    </w:p>
    <w:p>
      <w:pPr>
        <w:pStyle w:val="Heading2"/>
      </w:pPr>
      <w:r>
        <w:t>Erwägungen</w:t>
      </w:r>
    </w:p>
    <w:p>
      <w:r>
        <w:rPr>
          <w:b/>
        </w:rPr>
        <w:t>E. 2</w:t>
      </w:r>
    </w:p>
    <w:p>
      <w:r>
        <w:t>März 2082 befristeten selbstständigen und dauernden Baurechts für eine Wohnüberbauung mit Gewerberäumen und Unterniveaugarage GBBl. 1 zu Lasten des Grundstücks der Gemeinde C._____ GBBl. 4, Kat. Nr. 2, an der E._____- strasse 1, 2 und 3 in C._____ (act. 1 Rz. 9, 10; act. 3/3). Gemäss unbestritten gebliebener Darstellung der Gesuchstellerin realisiert die Gesuchsgegnerin das Bauprojekt "Zentrum E._____, C._____" auf dem streitge- genständlichen Grundstück (act. 1 Rz. 10; act. 3/4-6). Die F._____ GmbH, G._____, bestellte bei der Gesuchstellerin die Baubeheizung der (sich damals im Rohbau befindlichen) Gebäude, d.h. die Montage und Demontage einer Hei- zungsanlage samt Lieferung von Pellets zur Herstellung von Wärme in den Ge- bäuden (act. 1 Rz. 11, 14-22; act. 3/7-14). Am 4. Mai 2023 demontierte die Ge- suchstellerin auf dem streitgegenständlichen Grundstück die zwei Heizungsanla- gen … für die Häuser D und K (act. 1 Rz. 22; act.e._ 3/8; act. 3/11). Die Gesuch- stellerin stellte Rechnungen über insgesamt CHF 33'825.35 (act. 1 Rz. 23; act. 3/7-14). Die Bestellerin hat die Rechnungen nicht bezahlt (act. 1 Rz. 17-22).</w:t>
      </w:r>
    </w:p>
    <w:p>
      <w:r>
        <w:rPr>
          <w:b/>
        </w:rPr>
        <w:t>E. 3</w:t>
      </w:r>
    </w:p>
    <w:p>
      <w:r>
        <w:t>Formelles Die örtliche Zuständigkeit ergibt sich aus Art. 13 lit. a i.V.m. Art. 29 Abs. 1 lit. c ZPO, die sachliche Zuständigkeit aus Art. 6 Abs. 5 i.V.m. Abs. 1 und 2 ZPO sowie § 45 lit. b GOG (BGE 137 III 563 E. 3.4 S. 568-569).</w:t>
      </w:r>
    </w:p>
    <w:p>
      <w:r>
        <w:rPr>
          <w:b/>
        </w:rPr>
        <w:t>E. 4</w:t>
      </w:r>
    </w:p>
    <w:p>
      <w:r>
        <w:t>Materielles Gemäss Art. 961 Abs. 1 Ziff. 1 i.V.m. Art. 837 Abs. 1 Ziff. 3 ZGB kann eine vorläu- fige Eintragung vorgemerkt werden zur Sicherung des Anspruchs auf Errichtung</w:t>
      </w:r>
    </w:p>
    <w:p>
      <w:r>
        <w:t>- 4 - eines gesetzlichen Grundpfandrechts "für die Forderungen der Handwerker oder Unternehmer, die auf einem Grundstück zu Bauten oder anderen Werken, zu Ab- brucharbeiten, zum Gerüstbau, zur Baugrubensicherung oder dergleichen Materi- al und Arbeit oder Arbeit allein geliefert haben, an diesem Grundstück, sei es, dass sie den Grundeigentümer, einen Handwerker oder Unternehmer, einen Mie- ter, einen Pächter oder eine andere am Grundstück berechtigte Person zum Schuldner haben". Bei besonderer Dringlichkeit kann die vorläufige Eintragung sofort und ohne Anhörung der Gegenpartei erfolgen (Art. 265 Abs. 1 ZPO).</w:t>
      </w:r>
    </w:p>
    <w:p>
      <w:r>
        <w:rPr>
          <w:b/>
        </w:rPr>
        <w:t>E. 4.1</w:t>
      </w:r>
    </w:p>
    <w:p>
      <w:r>
        <w:t>Zur Geltendmachung des Anspruchs aktivlegitimiert ist der Handwerker oder Unternehmer (RAINER SCHUHMACHER/PASCAL REY, Das Bauhandwerker- pfandrecht, 4. Aufl. 2022, N 1405). Dies gilt namentlich auch, wenn dieser nicht den Grundstückeigentümer, sondern einen anderen Handwerker oder Unterneh- mer zum Schuldner hat (Art. 837 Abs. 1 Ziff. 3 ZGB). Die Aktivlegitimation der Gesuchstellerin ist durch die unbestritten gebliebenen Behauptungen und die ein- gereichten Rechnungen hinreichend glaubhaft gemacht.</w:t>
      </w:r>
    </w:p>
    <w:p>
      <w:r>
        <w:rPr>
          <w:b/>
        </w:rPr>
        <w:t>E. 4.2</w:t>
      </w:r>
    </w:p>
    <w:p>
      <w:r>
        <w:t>Der (realobligatorische) Anspruch auf Errichtung eines gesetzlichen Grundpfandrechts richtet sich gegen den jeweiligen Eigentümer des Grundstücks (BGE 134 III 147 E. 4.3 S. 150; BGE 92 II 227 E. 1 S. 229-230). Bei in das Grundbuch aufgenommenen selbstständigen und dauernden Baurechten handelt es sich um Grundstücke i.S.v. Art. 655 Abs. 2 Ziff. 2 und Art. 943 Abs. 1 Ziff. 2 i.V.m. Art. 779 Abs. 3 ZGB und Art. 22 Abs. 1 lit. a Ziff. 1 GBV (HGer ZH HE200486-O v. 26.02.2021 E. 4.4). Die Gesuchsgegnerin ist Alleineigentümerin des zu belastenden Baurechts. Die Passivlegitimation der Gesuchsgegnerin ist hinreichend glaubhaft gemacht.</w:t>
      </w:r>
    </w:p>
    <w:p>
      <w:r>
        <w:rPr>
          <w:b/>
        </w:rPr>
        <w:t>E. 4.3</w:t>
      </w:r>
    </w:p>
    <w:p>
      <w:r>
        <w:t>Pfandberechtigt sind auch sog. sekundäre Bauleistungen, welche unter- stützenden Charakter für Leistungen mit direkten Einwirkungen haben (CHRIS- TOPH THURNHERR, Das revidierte Bauhandwerkerpfandrecht – zu wenig Neues, aber noch mehr Problematisches?, ZBGR 93 [2012], 73, S. 79). Die Bauaustrock- nung ist einschliesslich der damit verbundenen Brennstofflieferungen als pfandbe- rechtigte gemischte Leistung zu qualifizieren (OGer ZH v. 31.10.1980, ZR 80 [1981] Nr. 18 E. 6 S. 61-62; SCHUHMACHER/REY, a.a.O., N 309; THURNHERR,</w:t>
      </w:r>
    </w:p>
    <w:p>
      <w:r>
        <w:t>- 5 - ZBGR 93 [2012], S. 79). Die Leistungen der Gesuchstellerin sind somit pfandbe- rechtigt.</w:t>
      </w:r>
    </w:p>
    <w:p>
      <w:r>
        <w:rPr>
          <w:b/>
        </w:rPr>
        <w:t>E. 4.4</w:t>
      </w:r>
    </w:p>
    <w:p>
      <w:r>
        <w:t>Die Eintragung des Pfandrechts setzt die Einigung oder Feststellung der Pfandsumme voraus (Art. 794 Abs. 1 ZGB; Art. 839 Abs. 3 ZGB). Die Pfandsum- me einschliesslich Zinsenlauf ist durch die unbestritten gebliebenen Behauptun- gen und die eingereichten Rechnungen mit Zahlungsfristen hinreichend glaubhaft gemacht.</w:t>
      </w:r>
    </w:p>
    <w:p>
      <w:r>
        <w:rPr>
          <w:b/>
        </w:rPr>
        <w:t>E. 4.5</w:t>
      </w:r>
    </w:p>
    <w:p>
      <w:r>
        <w:t>Die Eintragungsfrist beträgt vier Monate ab Vollendung der Arbeiten (Art. 839 Abs. 2 ZGB). Die letzten pfandberechtigten Arbeiten (Demontage der Heizungsanlagen) fanden gemäss unbestritten gebliebener Darstellung der Ge- suchsgegnerin am 4. Mai 2023 statt (act. 1 Rz. 27; act. 3/8). Mit der vorläufigen Eintragung vom 4. September 2023 ist die Eintragungsfrist gewahrt.</w:t>
      </w:r>
    </w:p>
    <w:p>
      <w:r>
        <w:rPr>
          <w:b/>
        </w:rPr>
        <w:t>E. 4.6</w:t>
      </w:r>
    </w:p>
    <w:p>
      <w:r>
        <w:t>Im Ergebnis ist die einstweilige Anweisung an das Grundbuchamt im bean- tragten Umfang zu bestätigen als vorläufige Eintragung im Sinne von Art. 961 ZGB mit Wirkung ab vorläufiger Eintragung gemäss Verfügung vom 4. September 2023.</w:t>
      </w:r>
    </w:p>
    <w:p>
      <w:r>
        <w:rPr>
          <w:b/>
        </w:rPr>
        <w:t>E. 5</w:t>
      </w:r>
    </w:p>
    <w:p>
      <w:r>
        <w:t>Prosequierungsfrist Der Gesuchstellerin ist Frist anzusetzen, um Klage auf definitive Eintragung des Pfandrechts gegen die Gesuchsgegnerin anzuheben (Art. 263 ZPO). Die Prose- quierungsfrist ist praxisgemäss auf 60 Tage festzulegen. Allfällige Gerichtsferien sind nach der bundesgerichtlichen Rechtsprechung nicht zu berücksichtigen (BGE 143 III 554 E. 2.5.2 S. 557-558 = Pra 107 [2018] Nr. 145). Eine Verlänge- rung dieser Frist ist möglich, bedarf aber eines gesonderten und begründeten Ge- suches (Art. 144 Abs. 2 ZPO); dieses würde in einem kostenpflichtigen Nachver- fahren behandelt. Als zureichende Gründe für eine Fristerstreckung gemäss Art. 144 Abs. 2 ZPO werden nur entweder die Zustimmung der Gegenpartei oder von der Partei nicht vorhersehbare oder nicht beeinflussbare Hinderungsgründe anerkannt.</w:t>
      </w:r>
    </w:p>
    <w:p>
      <w:r>
        <w:t>- 6 -</w:t>
      </w:r>
    </w:p>
    <w:p>
      <w:r>
        <w:rPr>
          <w:b/>
        </w:rPr>
        <w:t>E. 6</w:t>
      </w:r>
    </w:p>
    <w:p>
      <w:r>
        <w:t>Schriftliche Mitteilung an die Parteien sowie an das Grundbuchamt C._____.</w:t>
      </w:r>
    </w:p>
    <w:p>
      <w:r>
        <w:rPr>
          <w:b/>
        </w:rPr>
        <w:t>E. 7</w:t>
      </w:r>
    </w:p>
    <w:p>
      <w:r>
        <w:t>Eine bundesrechtliche Beschwerde gegen diesen Entscheid ist innerhalb von 30 Tagen von der Zustellung an beim Schweizerischen Bundesgericht,</w:t>
      </w:r>
    </w:p>
    <w:p>
      <w:r>
        <w:t>- 8 - 1000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33'825.35. Die gesetzlichen Fristenstillstände gelten nicht (Art. 46 Abs. 2 BGG). Zürich, 5. Oktober 2023 HANDELSGERICHT DES KANTONS ZÜRICH Einzelgericht Gerichtsschreiber: Jan Busslinger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