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HE230050 vom 24. Juli 2023</w:t>
      </w:r>
    </w:p>
    <w:p>
      <w:r>
        <w:t>Zh Handelsgericht, 2023-07-24, DE</w:t>
      </w:r>
    </w:p>
    <w:p>
      <w:r>
        <w:rPr>
          <w:b/>
        </w:rPr>
        <w:t xml:space="preserve">Quelle: </w:t>
      </w:r>
      <w:r>
        <w:t>https://mcp.opencaselaw.ch/entscheid/zh_handelsgericht_HE230050</w:t>
      </w:r>
    </w:p>
    <w:p>
      <w:r>
        <w:t>FR: ZH_HANDELSGERICHT HE230050 du 24 juillet 2023</w:t>
      </w:r>
    </w:p>
    <w:p>
      <w:r>
        <w:t>IT: ZH_HANDELSGERICHT HE230050 del 24 luglio 2023</w:t>
      </w:r>
    </w:p>
    <w:p>
      <w:pPr>
        <w:pStyle w:val="Heading2"/>
      </w:pPr>
      <w:r>
        <w:t>Erwägungen</w:t>
      </w:r>
    </w:p>
    <w:p>
      <w:r>
        <w:rPr>
          <w:b/>
        </w:rPr>
        <w:t>E. 2</w:t>
      </w:r>
    </w:p>
    <w:p>
      <w:r>
        <w:t>Dezember 2022; auf den Betrag von CHF 1'913.00 seit dem 2. Januar 2023 sowie auf den Betrag von CHF 1'913.00 seit dem 2. Februar 2023. 4.5. Schadenersatzforderung Schliesslich verlangt die Gesuchstellerin Schadenersatz für die unterlassene Rückgabe der Mietsache in Höhe von CHF 3'826.00 (act. 1 Rz. 41-42). Ein Mie- ter, der den Mietgegenstand bei Beendigung des Mietverhältnisses nicht zurück- gibt, verstösst gegen die vertragliche Verpflichtung aus Art. 267 Abs. 1 OR und schuldet dem Vermieter Schadenersatz gemäss Art. 97 OR. Erfolgt die Rückgabe durch das Verschulden des Mieters verspätet, so hat der Vermieter Anspruch auf Schadenersatz, dessen Höhe dem bislang bezahlten Mietzins entspricht (WEBER, a.a.O., Art. 267 Rz. 2a; BGE 4A_208/2015 E. 4.2). Unbestrittenermassen war die Gesuchsgegnerin aufgrund der wirksamen Kündigung verpflichtet, dass Mietob- jekt am 28. Februar 2023 der Gesuchstellerin zu übergeben. Unbestritten geblie- ben ist auch, dass die Höhe des Schadenersatzes dem bisherigen Mietzins ent- spricht. Da sie der Rückgabeverpflichtung schuldhaft nicht nachgekommen ist, hat die Gesuchstellerin einen Anspruch auf Schadenersatz für die Monate März 2023</w:t>
      </w:r>
    </w:p>
    <w:p>
      <w:r>
        <w:t>- 8 - und April 2023 von insgesamt CHF 3'826.00. Der Verzugszins von 5% ab Einrei- chung der Klage ist ausgewiesen.</w:t>
      </w:r>
    </w:p>
    <w:p>
      <w:r>
        <w:rPr>
          <w:b/>
        </w:rPr>
        <w:t>E. 5</w:t>
      </w:r>
    </w:p>
    <w:p>
      <w:r>
        <w:t>Vollstreckungsmassnahmen</w:t>
      </w:r>
    </w:p>
    <w:p>
      <w:r>
        <w:rPr>
          <w:b/>
        </w:rPr>
        <w:t>E. 5.1</w:t>
      </w:r>
    </w:p>
    <w:p>
      <w:r>
        <w:t>Auf Antrag der obsiegenden Partei ordnet das Gericht Vollstreckungs- massnahmen an (Art. 236 Abs. 3 ZPO und Art. 337 ZPO). Antragsgemäss ist das Betreibungs- und Stadtammannamt anzuweisen, den Ausweisungsbefehl nach unbenutztem Ablauf der Rechtsmittelfrist bzw. Nichtgewährung der aufschieben- den Wirkung auf erstes Verlangen der Gesuchstellerin zu vollstrecken, wobei das für Dietlikon zuständige Amt das Betreibungs- und Stadtammannamt Wallisellen- Dietlikon ist.</w:t>
      </w:r>
    </w:p>
    <w:p>
      <w:r>
        <w:rPr>
          <w:b/>
        </w:rPr>
        <w:t>E. 5.2</w:t>
      </w:r>
    </w:p>
    <w:p>
      <w:r>
        <w:t>Die von Gesuchstellerin beantragte Vollstreckungsmassnahme im Sinne von Art. 343 Abs. 1 lit. a ZPO, nämlich die beantragte Strafandrohung mit Busse nach Art. 292 StGB im Unterlassungsfall, ist vorliegend nicht zusätzlich erforder- lich, weshalb von einer entsprechenden Anordnung abzusehen ist.</w:t>
      </w:r>
    </w:p>
    <w:p>
      <w:r>
        <w:rPr>
          <w:b/>
        </w:rPr>
        <w:t>E. 6</w:t>
      </w:r>
    </w:p>
    <w:p>
      <w:r>
        <w:t>Die Gesuchsgegnerin wird verpflichtet, der Gesuchstellerin eine Parteient- schädigung von CHF 2'800.00 zu bezahlen.</w:t>
      </w:r>
    </w:p>
    <w:p>
      <w:r>
        <w:rPr>
          <w:b/>
        </w:rPr>
        <w:t>E. 7</w:t>
      </w:r>
    </w:p>
    <w:p>
      <w:r>
        <w:t>Schriftliche Mitteilung an die Parteien, an die Gesuchstellerin im Doppel für sich und zuhanden des Betreibungs- und Stadtammannamt Wallisellen- Dietlikon, und an die Gesuchsgegnerin und den Gesellschafter und Ge- schäftsführer der Gesuchsgegnerin, je mit Gerichtsurkunde.</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23'520.45. Zürich, 24. Juli 2023 Handelsgericht des Kantons Zürich Einzelgericht Gerichtsschreiber: Dr. Pierre Heijmen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