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HE230025 vom 8. Juni 2023</w:t>
      </w:r>
    </w:p>
    <w:p>
      <w:r>
        <w:t>Zh Handelsgericht, 2023-06-08, DE</w:t>
      </w:r>
    </w:p>
    <w:p>
      <w:r>
        <w:rPr>
          <w:b/>
        </w:rPr>
        <w:t xml:space="preserve">Quelle: </w:t>
      </w:r>
      <w:r>
        <w:t>https://mcp.opencaselaw.ch/entscheid/zh_handelsgericht_HE230025</w:t>
      </w:r>
    </w:p>
    <w:p>
      <w:r>
        <w:t>FR: ZH_HANDELSGERICHT HE230025 du 8 juin 2023</w:t>
      </w:r>
    </w:p>
    <w:p>
      <w:r>
        <w:t>IT: ZH_HANDELSGERICHT HE230025 del 8 giugno 2023</w:t>
      </w:r>
    </w:p>
    <w:p>
      <w:pPr>
        <w:pStyle w:val="Heading2"/>
      </w:pPr>
      <w:r>
        <w:t>Erwägungen</w:t>
      </w:r>
    </w:p>
    <w:p>
      <w:r>
        <w:rPr>
          <w:b/>
        </w:rPr>
        <w:t>E. 4</w:t>
      </w:r>
    </w:p>
    <w:p>
      <w:r>
        <w:t>Vollstreckungsmassnahmen</w:t>
      </w:r>
    </w:p>
    <w:p>
      <w:r>
        <w:rPr>
          <w:b/>
        </w:rPr>
        <w:t>E. 4.1</w:t>
      </w:r>
    </w:p>
    <w:p>
      <w:r>
        <w:t>Rechtliche Grundlagen Auf Antrag der obsiegenden Partei ordnet das Gericht Vollstreckungsmassnah- men an (Art. 236 Abs. 3 ZPO). Dabei können gemäss Art. 343 Abs. 1 ZPO bei ei- nem Entscheid auf eine Verpflichtung zu einem Tun direkte oder indirekte Voll- streckungsmassnahmen angedroht werden. Zu den direkten Vollstreckungs- massnahmen gehören die Zwangsmassnahmen und die Ersatzvornahme (Art. 343 Abs. 1 lit. d und lit. e ZPO). Zu den indirekten Vollstreckungsmassnahmen zählen die Androhung der Bestrafung nach Art. 292 StGB, die Ordnungsbusse und die Tagesbusse (Art. 343 Abs. 1 lit. a, lit. b und lit. c ZPO). Da juristische Per- sonen nicht deliktsfähig sind, kann einer solchen keine Bestrafung nach Art. 292 StGB angedroht werden. Die Strafandrohung muss sich an die zuständigen Or- gane bzw. Vertreter richten (Urteil des Bundesgerichts 6B_280/2010 vom 20. Mai 2010 E. 3.1). Ob und welche Vollstreckungsmassnahmen angeordnet werden, entscheidet das Gericht nach seinem eigenen Ermessen. Dabei hat es den Grundsatz der Verhältnismässigkeit zu beachten. Verschiedene Massnahmen könne gleichzeitig kombiniert werden (STAEHELIN, in: Kommentar zur Schweizeri- schen Zivilprozessordnung (ZPO), Sutter-Somm/Hasenböhler/Leuenberger [Hrsg.], 3. Aufl. 2016, N. 25 zu Art. 236 ZPO und N. 15 zu Art. 343 ZPO).</w:t>
      </w:r>
    </w:p>
    <w:p>
      <w:r>
        <w:rPr>
          <w:b/>
        </w:rPr>
        <w:t>E. 4.2</w:t>
      </w:r>
    </w:p>
    <w:p>
      <w:r>
        <w:t>Würdigung Die Gesuchstellerin beantragt als Vollstreckungsmassnahmen die Androhung ei- ner Bestrafung wegen Ungehorsams gemäss Art. 292 StGB sowie die Anordnung von zweckdienlichen Zwangsmassnahmen zur Wegnahme und Rückführung des Fahrzeuges im Sinne von Art. 343 Abs. 1 lit. d ZPO. Um dem Herausgabebefehl Nachdruck zu verleihen und vor dem Hintergrund, dass die Gesuchsgegnerin bzw. ihr einziges Organ selbst einer Aufforderung zur Kontaktaufnahme durch die Polizei keine Folge geleistet hat, rechtfertigt es sich, den vorliegenden Befehl mit der Androhung einer Strafe nach Art. 292 StGB für die Organe der Gesuchsgeg- nerin zu verbinden. Aus den selbigen Überlegungen und da es vorliegend um die Herausgabe einer beweglichen Sache geht, erweist sich überdies die Anordnung</w:t>
      </w:r>
    </w:p>
    <w:p>
      <w:r>
        <w:t>- 8 - von Zwangsmassnahmen im Sinne von Art. 343 Abs. 1 lit. d ZPO und damit die Anweisung an die zuständige Vollstreckungsbehörde zur Vollstreckung des Her- ausgabebefehls als zweckmässig. Da lediglich "zweckdienliche Zwangsmass- nahmen" beantragt wurden und dem Gesuch keine weiteren Anhaltspunkte be- züglich des Standortes des Leasingfahrzeuges zu entnehmen sind bzw. der Fahr- zeugstandort auch der Gesuchstellerin unbekannt zu sein scheint (vgl. act. 1 S. 2 f.), ist die am Sitz der Gesuchsgegnerin zuständige Vollstreckungsbehörde anzuweisen, den Befehl zu vollstrecken und das Leasingfahrzeug zu behändigen sowie der Gesuchstellerin zu übergeben. Es wird gegebenenfalls Sache der Ge- suchstellerin sein, sich unter Vorlage dieses Entscheides an die entsprechende Behörde zu wenden.</w:t>
      </w:r>
    </w:p>
    <w:p>
      <w:r>
        <w:rPr>
          <w:b/>
        </w:rPr>
        <w:t>E. 5</w:t>
      </w:r>
    </w:p>
    <w:p>
      <w:r>
        <w:t>Kosten- und Entschädigungsfolgen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33'000.– (vgl. act. 1 S. 2 oben) beträgt die Grundgebühr rund CHF 4'200.–. Unter Berücksichti- gung von § 4 Abs. 1 und 2 sowie § 8 Abs. 1 GebV OG und § 10 Abs. 1 GebV OG sind die Gerichtskosten auf die Hälfte der Grundgebühr festzusetzen. Ausgangs- gemäss sind die Kosten der Gesuchsgegnerin aufzuerlegen (Art. 106 Abs. 1 ZPO). Die Kosten sind vorab aus dem von der Gesuchstellerin geleisteten Kos- tenvorschuss zu decken. Der Gesuchstellerin ist das Rückgriffsrecht auf die Ge- suchsgegnerin einzuräumen (vgl. Art. 111 Abs. 2 ZPO). Die Gesuchstellerin ist nicht anwaltlich vertreten und begründet ihren Antrag auf Zusprechung einer Parteientschädigung nicht, weshalb ihr keine Parteientschädi- gung zuzusprechen ist (Art. 95 Abs. 3 lit. c ZPO).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