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HE230005 vom 8. Februar 2023</w:t>
      </w:r>
    </w:p>
    <w:p>
      <w:r>
        <w:t>Zh Handelsgericht, 2023-02-08, DE</w:t>
      </w:r>
    </w:p>
    <w:p>
      <w:r>
        <w:rPr>
          <w:b/>
        </w:rPr>
        <w:t xml:space="preserve">Quelle: </w:t>
      </w:r>
      <w:r>
        <w:t>https://mcp.opencaselaw.ch/entscheid/zh_handelsgericht_HE230005</w:t>
      </w:r>
    </w:p>
    <w:p>
      <w:r>
        <w:t>FR: ZH_HANDELSGERICHT HE230005 du 8 février 2023</w:t>
      </w:r>
    </w:p>
    <w:p>
      <w:r>
        <w:t>IT: ZH_HANDELSGERICHT HE230005 del 8 febbraio 2023</w:t>
      </w:r>
    </w:p>
    <w:p>
      <w:pPr>
        <w:pStyle w:val="Heading2"/>
      </w:pPr>
      <w:r>
        <w:t>Erwägungen</w:t>
      </w:r>
    </w:p>
    <w:p>
      <w:r>
        <w:rPr>
          <w:b/>
        </w:rPr>
        <w:t>E. 2</w:t>
      </w:r>
    </w:p>
    <w:p>
      <w:r>
        <w:t>Eventualiter sei das Grundbuchamt C._____ richterlich anzuwei- sen, zu Lasten der neu von Grundstück Nr. 2 (E._____-strasse 3, D._____), Grundbuch D._____, abparzellierten Grundstücke Nrn.</w:t>
      </w:r>
    </w:p>
    <w:p>
      <w:r>
        <w:rPr>
          <w:b/>
        </w:rPr>
        <w:t>E. 2.1</w:t>
      </w:r>
    </w:p>
    <w:p>
      <w:r>
        <w:t>Mit Eingabe vom 3. Februar 2023 (act. 12) verkündet die Gesuchsgegnerin der F._____ GmbH den Streit und verlangt, es sei ihr (der F._____ GmbH) Frist zur Stellungnahme zur Streitverkündung und insbesondere Frist zur Beantwor- tung des Gesuchs anzusetzen (act. 12 S. 2). Eventualiter sei die Streitverkündung im Urteil vorzumerken.</w:t>
      </w:r>
    </w:p>
    <w:p>
      <w:r>
        <w:rPr>
          <w:b/>
        </w:rPr>
        <w:t>E. 2.2</w:t>
      </w:r>
    </w:p>
    <w:p>
      <w:r>
        <w:t>Eine Partei, die für den Fall ihres Unterliegens eine dritte Person belangen will oder den Anspruch einer dritten Person befürchtet, kann diese im Sinne einer Streitverkündung auffordern, sie im Prozess zu unterstützen (Art. 78 Abs. 1 ZPO). Die Streitberufene hat den Prozess im vorgefundenen Stadium aufzunehmen und hat keinen Anspruch auf weitere Schriftenwechsel. Ein Prozessbeitritt (v.a. im Hinblick auf die Ergreifung von Rechtsmitteln) ist auch nach Urteilsfällung bis zum Ablauf der Rechtsmittelfrist noch möglich ist (ERNST STAEHELIN / SILVIA SCHWEIZER, in: Sutter-Somm/Hasenböhler/Leuenberger [Hrsg.], Kommentar zur Schweizeri- schen ZPO, 3. A. Zürich, Rz. 25 zu Art. 74 ZPO).</w:t>
      </w:r>
    </w:p>
    <w:p>
      <w:r>
        <w:rPr>
          <w:b/>
        </w:rPr>
        <w:t>E. 2.3</w:t>
      </w:r>
    </w:p>
    <w:p>
      <w:r>
        <w:t>Der Streitberufenen erwächst aus der Tatsache, dass ihr die Streitverkün- dung erst im Urteil angezeigt wird, kein Nachteil. Im summarischen Verfahren fin- det nur ein Schriftenwechsel statt. Dieser wurde mit der Stellungnahme der Ge- suchsgegnerin (act. 9) abgeschlossen. Somit hätte die Streitberufene ohnehin nicht mehr zum Gesuch Stellung nehmen können, weshalb der Prozessbeitritt vor allem im Hinblick auf ein allfälliges Rechtsmittelverfahren allenfalls von Bedeutung sein könnte. Es besteht daher keine Grundlage, der Streitberufenen eine Frist zur allfälligen Erklärung des Prozessbeitritts oder zur Beantwortung des Gesuchs an- zusetzen, weshalb der entsprechende Antrag abzuweisen ist. Von der Streitver- kündung der Gesuchsgegnerin an die F._____ GmbH, G._____-Strasse 6, H._____, ist jedoch Vormerk zu nehmen.</w:t>
      </w:r>
    </w:p>
    <w:p>
      <w:r>
        <w:t>- 4 -</w:t>
      </w:r>
    </w:p>
    <w:p>
      <w:r>
        <w:rPr>
          <w:b/>
        </w:rPr>
        <w:t>E. 2.4</w:t>
      </w:r>
    </w:p>
    <w:p>
      <w:r>
        <w:t>Der Streitberufenen kommt ein Akteneinsichtsrecht erst zu, wenn sie sich als Nebenpartei konstituiert hat (BGer 4A_212/2015 vom 4. November 2015 E. 4.3). Entsprechend sind der Streitberufenen vom vorliegende Urteil lediglich die sie betreffenden Auszüge mitzuteilen. 3. Voraussetzungen zur Eintragung eines Bauhanderkerpfandrechts 3.1. Rechtliches 3.1.1. Nach Art. 961 Abs. 1 Ziff. 1 i.V.m. Art. 837 Abs. 1 Ziff. 3 ZGB kann eine vor- läufige Eintragung vorgemerkt werden zur Sicherung des Anspruchs auf Errich- tung eines gesetzlichen Grundpfandrechts "für die Forderungen der Handwerker oder Unternehmer, die auf einem Grundstück zu Bauten oder anderen Werken, zu Abbrucharbeiten, zum Gerüstbau, zur Baugrubensicherung oder dergleichen Material und Arbeit oder Arbeit allein geliefert haben, an diesem Grundstück, sei es, dass sie den Grundeigentümer, einen Handwerker oder Unternehmer, einen Mieter, einen Pächter oder eine andere am Grundstück berechtigte Person zum Schuldner haben". Die Eintragung des Pfandrechts ins Grundbuch kann ab dem Zeitpunkt des Vertragsschlusses verlangt werden und hat bis spätestens vier Mo- nate nach der Vollendung der Arbeiten zu erfolgen (Art. 839 Abs. 1 und 2 ZGB). 3.1.2. Der Subunternehmer hat einen selbständigen Anspruch auf die Errichtung des Bauhandwerkerpfandrechts am Grundstück, für das er seine Leistung er- bracht hat. Es ist bedeutungslos, ob der Unternehmer zum Beizug eines Subun- ternehmers berechtigt war (GERHARD FREY, in: Kren Kostkie- wicz/Wolf/Amstutz/Fankhauser [Hrsg.], OFK ZGB Kommentar, 4. A., Zürich 2021, Rz. 22 zu Art. 837 ZGB). 3.1.3. Gemäss Art. 961 Abs. 3 ZGB und Art. 261 Abs. 1 ZPO gilt im vorläufigen Eintragungsverfahren das Beweismass der Glaubhaftmachung. Nach allgemeiner Ansicht ist das Beweismass in diesem Verfahren gegenüber anderen Arten vor- sorglicher Massnahmen besonders stark herabgesetzt (vgl. BGE 137 III 563 E. 3.3; BGE 86 I 265 E. 3; BGer 5A_280/2021 vom 17. Juni 2022 E. 3.1; RAINER SCHUMACHER/PASCAL REY, Das Bauhandwerkerpfandrecht, 4. A., Zürich 2021,</w:t>
      </w:r>
    </w:p>
    <w:p>
      <w:r>
        <w:t>- 5 - Rz. 1533 ff.). An die Glaubhaftmachung dürfen folglich keine besonderen Anfor- derungen gestellt werden (BGE 86 I 265 E. 3; BGE 79 II 424 E. 6; BGE 39 II 139 E. 2; BGer 5P.221/2003 vom 12. September 2003 E. 3.2.1). Die vorläufige Eintra- gung darf nur verweigert werden, wenn der Bestand des Pfandrechts als ausge- schlossen oder höchst unwahrscheinlich erscheint (BGE 86 I 265 E. 3; BGer 5A_933/2014 vom 16. April 2015 E. 3.3.2; BGer 5D_116/2014 vom 13. Oktober 2014 E. 5.3; BGer 5A_475/2010 vom 15. September 2010 E. 3.1.2). Im Zweifels- fall, bei unklarer oder unsicherer Rechtslage, ist die vorläufige Eintragung zu be- willigen (BGE 102 Ia 81 E. 2b/bb; BGE 86 I 265 E. 3; BGer 5A_933/2014 vom 16. April 2015 E. 3.3.2; BGer 5A_932/2014 vom 16. April 2015 E. 3.3.2; 5A_475/2010 vom 15. September 2010 E. 3.1.2) und die Entscheidung dem defi- nitiven Eintragungsverfahren zu überlassen (BGE 86 I 265 E. 3). Das herabge- setzte Beweismass führt jedoch nicht dazu, dass auch die Behauptungs- und Substantiierungsanforderungen herabgesetzt wären. Auch im summarischen Ver- fahren und auch bei der vorläufigen Eintragung eines Bauhandwerkerpfandrechts ist ein schlüssiger Tatsachenvortrag erforderlich (vgl. BGer 5A_280/2021 vom 17. Juni 2022 E. 3.4.3). 3.2. Wesentliche Parteivorbringen 3.2.1. Die Gesuchstellerin stützt sich auf den Werkvertrag vom 1. Juli 2022 zwi- schen ihr als Unternehmerin und der F._____ GmbH als Bestellerin bzw. als Ge- neralunternehmerin, gemäss welchem sie Baumeisterarbeiten auf dem Grund- stück Blatt 1, Kataster Nr. 2 im Grundbuch D._____ der Gesuchsgegnerin er- brachte (act. 1 Rz. 2 ff.; act. 3/3). Die Gesuchstellerin stellte der Gesuchsgegnerin als Grundstückseigentümerin und Bauherrin die ausgeführten Arbeiten am 19. November 2022 in der Höhe von CHF 229'034.80 inkl. MwSt. in Rechnung. Diese Rechnung wurde nicht beglichen; daher versandte die Gesuchstellerin am 29. November 2022 eine schriftliche Mahnung (act. 1 Rz. 8; act. 3/4). Verlangt wird von der Gesuchstellerin die Eintragung der noch offenen Werklohnforderung von CHF 229'034.80 (inkl. MwSt.) zzgl. Zins zu 5% seit dem 30. November 2022 auf dem Grundstück Grundbuch D._____, Blatt 1, Kataster Nr. 2, eventualiter auf den Grundstücken Nr. 4 und 5 (act. 1 Rz. 4, Rz. 9).</w:t>
      </w:r>
    </w:p>
    <w:p>
      <w:r>
        <w:t>- 6 - 3.2.2. Die Gesuchsgegnerin bestreitet, dass die F._____ GmbH berechtigt gewe- sen sei, mit der Gesuchstellerin als Subunternehmerin einen Werkvertrag abzu- schliessen (act. 9 Rz. 4 S. 3). Der Werkvertrag zwischen der F._____ GmbH und der Gesuchstellerin sehe einen Werklohn im Gesamtbetrag von total CHF 220'000.– vor. Das von der Gesuchstellerin beantragte Pfandrecht in der Höhe von CHF 229'034.80 sei im Mehrbetrag von CHF 9'034.80 nicht ausgewie- sen (act. 9 Rz. 4 S. 3 f.). Überdies bringt die Gesuchsgegnerin diverse Einwen- dungen vor, weshalb der Werklohn bzw. die Pfandsumme zu reduzieren sei (act. 9 Rz. 4, Rz. 5 f., Rz. 9, Rz. 13) 3.3. Pfandberechtigung 3.3.1. Einig sind sich die Parteien, dass die Gesuchstellerin aufgrund des Werk- vertrags zwischen ihr und der F._____ GmbH pfandberechtigte Arbeiten ausführte und dass diese auf dem Grundstück der Gesuchsgegnerin durch die Gesuchstel- lerin vorgenommen wurden (act. 1 Rz. 2 f., Rz. 7; act. 9 Rz. 2; act. 3/3–5). 3.3.2. Weiter ist unbestritten, dass die Gesuchstellerin Subunternehmerin der F._____ GmbH ist. Die Gesuchsgegnerin bestreitet indessen die Berechtigung der Generalunternehmerin zur Weitergabe von Baumeisterarbeiten (act. 9 Rz. 4). Die Subunternehmerin ist aber auch ohne (vertragliche) Berechtigung zur Ausfüh- rung berechtigt, ein Bauhandwerkerpfandrecht i.S.v. Art. 837 Abs. 1 Ziff. 3 ZGB für ihre Forderung gegenüber der Generalunternehmerin auf dem Grundstück ein- tragen zu lassen. Folglich ist die Gesuchstellerin als Subunternehmerin berech- tigt, ein Grundpfand eintragen zu lassen. 3.4. Wahrung der Viermonatsfrist 3.4.1. Nach Darstellung der Gesuchstellerin erfolgte die Fertigstellung der Arbeit am 5. November 2022 (act. 1 Rz. 10). Die Gesuchsgegnerin behauptet hingegen auf der einen Seite, dass der Gesuchstellerin aufgrund des Verzugs mit Beendi- gung der Arbeiten am 5. November 2022 eine Konventionalstrafe von CHF 64'500.– vom Werklohn abzuziehen sei (act. 1 Rz. 4 S. 4). Auf der anderen Seite stellt sie sich jedoch auf den Standpunkt, dass am 5. November 2022 keine</w:t>
      </w:r>
    </w:p>
    <w:p>
      <w:r>
        <w:t>- 7 - Vollendung und Abnahme des Werks erfolgt sei; diverse Arbeiten seien nur teil- weise erbracht worden (act. 9 Rz. 13). Die Gesuchsgegnerin behauptet, dass Baumeister- und Kanalisationsarbeiten am 18. Januar 2023 abgeschlossen wor- den seien, daher sei eine Konventionalstrafe von CHF 171'000.– geschuldet (act. 9 Rz. 23). 3.4.2. Die Vorbringen der Gesuchstellerin scheinen substantiiert und glaubhaft. Demgegenüber erweist sich der Tatsachenvortrag der Gesuchsgegnerin als wi- dersprüchlich. Soweit die Gesuchsgegnerin für die Fristwahrung auf die Vollen- dung des Werks abstellen will, entbehrt dies jeglicher gesetzlichen Grundlage. Ei- ne Eintragung muss lediglich spätestens vier Monate nach Vollendung der Arbeit erfolgen (vgl. Art. 839 Abs. 2 ZGB). Ein Pfandrecht kann indessen aber bereits ab dem Zeitpunkt der Arbeitsverpflichtung eingetragen werden (vgl. Art. 839 Abs. 1 ZGB). Die Vollendung des Werkes ist somit nicht fristauslösend oder gar Voraus- setzung für die Eintragung des Pfandrechts. Die Frage, ob die Arbeiten der Ge- suchstellerin am 5. November 2022 oder, so wie es die Gesuchsgegnerin be- hauptet, am 18. Januar 2023 vollendet worden waren, kann offen bleiben, weil die viermonatige Eintragungsfrist sowohl bei Vollendung der Arbeiten am</w:t>
      </w:r>
    </w:p>
    <w:p>
      <w:r>
        <w:rPr>
          <w:b/>
        </w:rPr>
        <w:t>E. 4</w:t>
      </w:r>
    </w:p>
    <w:p>
      <w:r>
        <w:t>Der Gesuchstellerin sei eine ausreichende, zwei Monate nicht un- terschreitende Frist anzusetzen, um Klage auf definitive Eintra- gung des Bauhandwerkerpfandrechts gemäss Ziff. 1 eventualiter Ziff. 2 hiervor zu Lasten des Grundstückes Grundbuch D._____, Blatt 1, Kataster 2 (E._____-strasse 3, D._____), einzureichen.</w:t>
      </w:r>
    </w:p>
    <w:p>
      <w:r>
        <w:rPr>
          <w:b/>
        </w:rPr>
        <w:t>E. 5</w:t>
      </w:r>
    </w:p>
    <w:p>
      <w:r>
        <w:t>Die Gerichtsgebühr beträgt CHF 8'400.–. Die weiteren Kosten betragen: CHF 134.50 (Rechnung Nr. 7 des Grund- buchamtes C._____ vom 25. Januar 2023).</w:t>
      </w:r>
    </w:p>
    <w:p>
      <w:r>
        <w:rPr>
          <w:b/>
        </w:rPr>
        <w:t>E. 5.1</w:t>
      </w:r>
    </w:p>
    <w:p>
      <w:r>
        <w:t>Ausgangsgemäss wird die Gesuchsgegnerin kosten- und entschädigungs- pflichtig (Art. 106 Abs. 1 ZPO).</w:t>
      </w:r>
    </w:p>
    <w:p>
      <w:r>
        <w:t>- 10 -</w:t>
      </w:r>
    </w:p>
    <w:p>
      <w:r>
        <w:rPr>
          <w:b/>
        </w:rPr>
        <w:t>E. 5.2</w:t>
      </w:r>
    </w:p>
    <w:p>
      <w:r>
        <w:t>Die Höhe der Gerichtsgebühr wird nach der Gebührenverordnung des Obergerichts bestimmt (Art. 96 ZPO i.V.m. § 199 Abs. 1 GOG) und richtet sich in erster Linie nach dem Streitwert bzw. nach dem tatsächlichen Streitinteresse (§ 2 Abs. 1 lit. a GebV OG). Es ist von einem Streitwert von CHF 229'035.– auszuge- hen, wobei die Gerichtsgebühr in Anwendung von § 4 Abs. 1 und 2 sowie § 8 Abs. 1 GebV OG auf CHF 8'400.– festzusetzen ist.</w:t>
      </w:r>
    </w:p>
    <w:p>
      <w:r>
        <w:rPr>
          <w:b/>
        </w:rPr>
        <w:t>E. 5.3</w:t>
      </w:r>
    </w:p>
    <w:p>
      <w:r>
        <w:t>Über den Pfandanspruch der Gesuchstellerin ist noch nicht definitiv ent- schieden. Es wird im ordentlichen Verfahren festzustellen sein, ob die Gesuch- stellerin endgültig obsiegt. Daher rechtfertigt es sich, im vorliegenden Verfahren lediglich eine einstweilige Kostenregelung zu treffen. Gemäss Praxis des Einzel- gerichts des Handelsgerichts des Kantons Zürich sind die Gerichtskosten im Ver- fahren betreffend die vorläufige Eintragung des Pfandrechts von der Gesuchstel- lerin zu beziehen, wobei der endgültige Entscheid des Gerichts im ordentlichen Verfahren vorbehalten bleibt.</w:t>
      </w:r>
    </w:p>
    <w:p>
      <w:r>
        <w:rPr>
          <w:b/>
        </w:rPr>
        <w:t>E. 5.4</w:t>
      </w:r>
    </w:p>
    <w:p>
      <w:r>
        <w:t>Auch der Entscheid betreffend die Entschädigungsfolgen ist dem ordentli- chen Verfahren vorbehalten. Für den Fall, dass die Gesuchstellerin ihren An- spruch jedoch nicht prosequieren sollte, ist der Gesuchsgegnerin in Anwendung von § 4 Abs. 1 und 2 sowie § 9 AnwGebV OG eine Parteientschädigung von CHF 6'800.– zuzusprechen. Mangels Darlegung der fehlenden Berechtigung zum Vorsteuerabzug ist die Parteientschädigung praxisgemäss ohne Mehrwertsteuer- zuschlag zuzusprechen (vgl. BGer 4A_552/2015 vom 25. Mai 2016 E. 4.5). Das Einzelgericht erkennt: 1. Die einstweilige Anweisung an das Grundbuchamt C._____ wird bestätigt als vorläufige Eintragung im Sinne von Art. 961 ZGB mit Wirkung ab vorläu- figer Eintragung gemäss Verfügung vom 10. Januar 2023 bis zur rechtskräf- tigen Erledigung des gemäss Dispositiv-Ziffer 4 einzuleitenden Prozesses auf Liegenschaft Kat. Nr. 2, GBBl. 1, E._____-strasse 3, D._____,</w:t>
      </w:r>
    </w:p>
    <w:p>
      <w:r>
        <w:t>- 11 - für eine Pfandsumme von CHF 229'034.80 nebst Zins zu 5 % seit 30. November 2022. 2. Die Streitverkündung der Gesuchsgegnerin an die F._____ GmbH, G._____-Strasse 6, H._____, wird vorgemerkt. 3. Die weiteren prozessualen Anträge der Gesuchsgegnerin werden abgewie- sen. 4. Der Gesuchstellerin wird eine Frist bis 11. April 2023 angesetzt, um eine Klage auf definitive Eintragung des Pfandrechts gegen die Gesuchsgegnerin anzuheben. Bei Säumnis kann die Gesuchsgegnerin den vorläufigen Eintrag (Dispositiv-Ziffer 1) löschen lassen.</w:t>
      </w:r>
    </w:p>
    <w:p>
      <w:r>
        <w:rPr>
          <w:b/>
        </w:rPr>
        <w:t>E. 6</w:t>
      </w:r>
    </w:p>
    <w:p>
      <w:r>
        <w:t>Die Kosten gemäss Dispositiv-Ziffer 5 werden von der Gesuchstellerin be- zogen. Vorbehalten bleibt der endgültige Entscheid des Gerichts im nachfol- genden ordentlichen Verfahren. Für den Fall, dass die Gesuchstellerin innert Frist gemäss Dispositiv-Ziffer 4 die Klage nicht anhängig macht, werden ihr die Kosten definitiv auferlegt.</w:t>
      </w:r>
    </w:p>
    <w:p>
      <w:r>
        <w:rPr>
          <w:b/>
        </w:rPr>
        <w:t>E. 7</w:t>
      </w:r>
    </w:p>
    <w:p>
      <w:r>
        <w:t>Die Regelung der Entschädigungsfolgen wird dem Gericht im nachfolgenden ordentlichen Verfahren vorbehalten. Versäumt die Gesuchstellerin jedoch die ihr in Dispositiv-Ziffer 4 angesetzte Frist zur Anhängigmachung der Kla- ge, wird sie verpflichtet, der Gesuchsgegnerin eine Parteientschädigung von CHF 6'800.– zu bezahlen.</w:t>
      </w:r>
    </w:p>
    <w:p>
      <w:r>
        <w:rPr>
          <w:b/>
        </w:rPr>
        <w:t>E. 8</w:t>
      </w:r>
    </w:p>
    <w:p>
      <w:r>
        <w:t>Schriftliche Mitteilung an die Parteien (an die Gesuchstellerin unter Beilage des Doppels von act. 9, act. 11/1–20 und act. 12), an das Grundbuchamt C._____ sowie auszugsweise (E. 2, Dispositiv Ziff. 2 und Ziff. 8) an die F._____ GmbH, G._____-Strasse 6, H._____.</w:t>
      </w:r>
    </w:p>
    <w:p>
      <w:r>
        <w:t>- 12 -</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229'035.–. Die gesetzlichen Fristenstillstände gelten nicht (Art. 46 Abs. 2 BGG). Zürich, 8. Februar 2023 HANDELSGERICHT DES KANTONS ZÜRICH Einzelgericht Die Gerichtsschreiberin: Dr. Isabel Geissberger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