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HE220123 vom 2. Februar 2023</w:t>
      </w:r>
    </w:p>
    <w:p>
      <w:r>
        <w:t>Zh Handelsgericht, 2023-02-02, DE</w:t>
      </w:r>
    </w:p>
    <w:p>
      <w:r>
        <w:rPr>
          <w:b/>
        </w:rPr>
        <w:t xml:space="preserve">Quelle: </w:t>
      </w:r>
      <w:r>
        <w:t>https://mcp.opencaselaw.ch/entscheid/zh_handelsgericht_HE220123</w:t>
      </w:r>
    </w:p>
    <w:p>
      <w:r>
        <w:t>FR: ZH_HANDELSGERICHT HE220123 du 2 février 2023</w:t>
      </w:r>
    </w:p>
    <w:p>
      <w:r>
        <w:t>IT: ZH_HANDELSGERICHT HE220123 del 2 febbraio 2023</w:t>
      </w:r>
    </w:p>
    <w:p>
      <w:pPr>
        <w:pStyle w:val="Heading2"/>
      </w:pPr>
      <w:r>
        <w:t>Erwägungen</w:t>
      </w:r>
    </w:p>
    <w:p>
      <w:r>
        <w:rPr>
          <w:b/>
        </w:rPr>
        <w:t>E. 27</w:t>
      </w:r>
    </w:p>
    <w:p>
      <w:r>
        <w:t>und 31. August 2022 der E._____ AG einen Betrag von insgesamt CHF 1'540.10 (inkl. MWST) in Rechnung (act. 1 S. 9, 11; act. 3/7–8). Ein Teil der Arbeiten wurde durch zwei weitere Subunternehmerinnen ausgeführt (act. 1 S. 10). Sämtliche Rechnungsbeträge blieben unbezahlt. 4. Rechtliches 4.1. Gemäss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 chen Material und Arbeit oder Arbeit allein geliefert haben, an diesem Grundstück, sei es, dass sie den Grundeigentümer, einen Handwerker oder Unternehmer, ei- nen Mieter, einen Pächter oder eine andere am Grundstück berechtigte Person zum Schuldner haben". Weder die Erstellung von Baustelleneinrichtungen noch rein intellektuelle Arbeitsleistungen berechtigen grundsätzlich zur Errichtung eines Baupfandrechts. Beide können aber als gemischte Leistung mit pfandberechtigten Arbeiten ebenfalls pfandberechtigt sein (SCHUMACHER/REY, Das Bauhandwerker- pfandrecht – System und Anwendung, 4. Aufl. 2021, Rz. 245, 273, 377). Auch der Mehrwertsteuerzuschlag und Verzugszins gehören zur Forderung im Sinne von Art. 837 Abs. 1 Ziff. 3 ZGB (SCHUMACHER/REY, a.a.O., Rz. 418).</w:t>
      </w:r>
    </w:p>
    <w:p>
      <w:r>
        <w:t>- 5 - 4.2. Der Anspruch auf Errichtung eines Bauhandwerkerpfandrechts richtet sich gegen den jeweiligen Eigentümer des Grundstücks, auch wenn die Leistungen nicht in seinem Auftrag erbracht worden sind. Die Eintragung ins Grundbuch hat bis spätestens vier Monate nach der Vollendung der Arbeiten zu erfolgen und kann nicht verlangt werden, wenn der Eigentümer für die angemeldete Forderung hinreichende Sicherheit leistet (Art. 839 Abs. 2 und 3 ZGB). 4.3. Aufgrund der besonderen Interessenlage darf die vorläufige Eintragung ei- nes Bauhandwerkerpfandrechts nur verweigert werden, wenn der Bestand des Pfandrechts als ausgeschlossen erscheint oder höchst unwahrscheinlich ist; im Zweifelsfall, bei unklarer oder unsicherer Rechtslage, ist die vorläufige Eintragung zu bewilligen und die Entscheidung dem ordentlichen Richter zu überlassen (Ur- teil des BGer 5A_280/2021 vom 17. Juni 2022 E. 3.1; BGE 86 I 265 E. 3) 5. Subsumtion Die Gesuchstellerin hat sich zu handwerklichen Arbeiten verpflichtet und ist ent- sprechend aktivlegitimiert. Die Gesuchsgegnerin ist Eigentümerin des Grund- stücks, auf dem die von der Gesuchstellerin erbrachten Leistungen erbracht wur- den und damit passivlegitimiert (act. 1 S. 4; act. 3/10). Bei den durch die Gesuch- stellerin erbrachten Abdichtungs- und Versiegelungsarbeiten handelt es sich of- fensichtlich um pfandberechtigte Arbeiten samt Materiallieferungen im Sinne von Art. 837 Abs. 1 Ziff. 3 ZGB. Gleiches gilt für die Arbeiten im Zusammenhang mit den Blumentrögen. Nicht eindeutig ist die Pfandberechtigung dagegen bezüglich der gemeinsam abgerechneten Aufwendungen für die Baustelleneinrichtung und die Beratung durch Experten der Gesuchstellerin. Der Bestand eines diesbezügli- chen Pfandrechts erscheint aber nicht als höchst unwahrscheinlich, so dass die vorläufige Eintragung zu bewilligen und die Entscheidung dem ordentlichen Ver- fahren zu überlassen ist. Der Umstand, dass diese Arbeiten teilweise durch Sub- unternehmungen erbracht wurden, vermag an der Pfandberechtigung der Ge- suchstellerin nichts zu ändern. Die Höhe der Pfandsumme beläuft sich auf insge- samt CHF 33'930.95 (CHF 21'836.25 + CHF 10'554.60 + CHF 1'540.10) und um- fasst den Mehrwertsteuerzuschlag. Hinzu kommen die Verzugszinsen in gesetzli- cher Höhe von 5 % ab dem 30. September 2022, da die letzte der vier Rechnun-</w:t>
      </w:r>
    </w:p>
    <w:p>
      <w:r>
        <w:t>- 6 - gen mit dem 29. September 2022 einen Verfalltag vorsieht (Art. 102 i.V.m. Art. 104 OR). Mit der provisorischen Eintragung am 20. Dezember 2022 wurde die von Art. 839 Abs. 2 ZGB verlangte Viermonatsfrist eingehalten, wurden die pfandberechtigenden Arbeiten doch zwischen dem 24. und dem 30. August 2022 ausgeführt. Demzufolge ist die einstweilige Anweisung an das Grundbuchamt C._____ gemäss Verfügung vom 20. Dezember 2022 als vorläufige Eintragung im Sinne von Art. 961 ZGB zu bestätigen. 6. Prosequierungsfrist Sodann ist der Gesuchstellerin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 7. Kosten- und Entschädigungsfolgen 7.1. Die Höhe der Gerichtsgebühr wird nach der Gebührenverordnung des Obergerichts bestimmt (Art. 96 ZPO i.V.m. § 199 Abs. 1 GOG) und richtet sich in erster Linie nach dem Streitwert bzw. nach dem tatsächlichen Streitinteresse (§ 2 Abs. 1 lit. a GebV OG). Es ist von einem Streitwert von CHF 33'930.95 auszuge- hen, wobei die Gerichtsgebühr in Anwendung von § 4 Abs. 1 sowie § 8 Abs. 1 GebV OG auf CHF 2'200.– festzusetzen ist. 7.2. 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w:t>
      </w:r>
    </w:p>
    <w:p>
      <w:r>
        <w:t>- 7 - gerichts des Handelsgerichts des Kantons Zürich sind die Gerichtskosten im Ver- fahren betreffend die vorläufige Eintragung des Pfandrechts von der Gesuchstel- lerin zu beziehen, wobei der endgültige Entscheid des Gerichts im ordentlichen Verfahren vorbehalten bleibt. 7.3. Auch der Entscheid betreffend die Entschädigungsfolgen ist dem ordentli- chen Verfahren vorzubehalten. Mangels Antrag der Gesuchsgegnerin ist ihr für den Fall, dass die Gesuchstellerin ihren Anspruch nicht prosequieren sollte, keine Parteientschädigung für das vorliegende Verfahren zuzusprechen (BGE 139 III 334 E. 4.3).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