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HE220033 vom 11. Mai 2022</w:t>
      </w:r>
    </w:p>
    <w:p>
      <w:r>
        <w:t>Zh Handelsgericht, 2022-05-11, DE</w:t>
      </w:r>
    </w:p>
    <w:p>
      <w:r>
        <w:rPr>
          <w:b/>
        </w:rPr>
        <w:t xml:space="preserve">Quelle: </w:t>
      </w:r>
      <w:r>
        <w:t>https://mcp.opencaselaw.ch/entscheid/zh_handelsgericht_HE220033</w:t>
      </w:r>
    </w:p>
    <w:p>
      <w:r>
        <w:t>FR: ZH_HANDELSGERICHT HE220033 du 11 mai 2022</w:t>
      </w:r>
    </w:p>
    <w:p>
      <w:r>
        <w:t>IT: ZH_HANDELSGERICHT HE220033 del 11 maggio 2022</w:t>
      </w:r>
    </w:p>
    <w:p>
      <w:pPr>
        <w:pStyle w:val="Heading2"/>
      </w:pPr>
      <w:r>
        <w:t>Erwägungen</w:t>
      </w:r>
    </w:p>
    <w:p>
      <w:r>
        <w:rPr>
          <w:b/>
        </w:rPr>
        <w:t>E. 2</w:t>
      </w:r>
    </w:p>
    <w:p>
      <w:r>
        <w:t>Es sei dem Begehren gemäss Ziff. 1 im Sinne einer vorsorglichen Anordnung zu entsprechen.</w:t>
      </w:r>
    </w:p>
    <w:p>
      <w:r>
        <w:rPr>
          <w:b/>
        </w:rPr>
        <w:t>E. 2.1</w:t>
      </w:r>
    </w:p>
    <w:p>
      <w:r>
        <w:t>Nach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 chen Material und Arbeit oder Arbeit allein geliefert haben, an diesem Grundstück,</w:t>
      </w:r>
    </w:p>
    <w:p>
      <w:r>
        <w:t>- 3 - sei es, dass sie den Grundeigentümer, einen Handwerker oder Unternehmer, ei- nen Mieter, einen Pächter oder eine andere am Grundstück berechtigte Person zum Schuldner haben". Die Eintragung des Pfandrechts ins Grundbuch kann ab dem Zeitpunkt des Vertragsschlusses verlangt werden und hat bis spätestens vier Monate nach der Vollendung der Arbeiten zu erfolgen (Art. 839 Abs. 1 und 2 ZGB).</w:t>
      </w:r>
    </w:p>
    <w:p>
      <w:r>
        <w:rPr>
          <w:b/>
        </w:rPr>
        <w:t>E. 2.2</w:t>
      </w:r>
    </w:p>
    <w:p>
      <w:r>
        <w:t>Gemäss Art. 961 Abs. 3 ZGB und Art. 261 Abs. 1 ZPO gilt im vorläufigen Eintragungsverfahren das Beweismass der Glaubhaftmachung. Nach allgemeiner Ansicht ist das Beweismass in diesem Verfahren gegenüber anderen Arten vor- sorglicher Massnahmen besonders stark herabgesetzt (BGE 137 III 563 E. 3.3 S. 566-567; BGer 5A_613/2015 vom 22. Januar 2015 E. 4; RAINER SCHUMA- CHER/PASCAL REY, Das Bauhandwerkerpfandrecht, 4. Aufl., 2021, N 1533 ff.). An die Glaubhaftmachung dürfen folglich keine besonderen Anforderungen gestellt werden (BGE 86 I 265 E. 3 S. 269-270; BGE 79 II 424 E. 6 S. 439; BGE 39 II 139 E. 2 S. 139-140; BGer 5P.221/2003 vom 12. September 2003 E. 3.2.1). Die vor- läufige Eintragung darf nur verweigert werden, wenn der Bestand des Pfandrechts als ausgeschlossen oder höchst unwahrscheinlich erscheint (BGE 86 I 265 E. 3 S. 269-270; BGer 5A_933/2014 vom 16. April 2015 E. 3.3.2; 5D_116/2014 vom 13. Oktober 2014 E. 5.3; 5A_475/2010 vom 15. September 2010 E. 3.1.2). Im Zweifelsfall, bei unklarer oder unsicherer Rechtslage, ist die vorläufige Eintragung zu bewilligen (BGE 102 Ia 81 E. 2b/bb S. 86; BGE 86 I 265 E. 3 S. 269-270; BGer 5A_933/2014 vom 16. April 2015 E. 3.3.2; 5A_932/2014 vom 16. April 2015 E. 3.3.2; 5A_475/2010 vom 15. September 2010 E. 3.1.2) und die Entscheidung dem definitiven Eintragungsverfahren zu überlassen (BGE 86 I 265 E. 3 S. 269- 270).</w:t>
      </w:r>
    </w:p>
    <w:p>
      <w:r>
        <w:rPr>
          <w:b/>
        </w:rPr>
        <w:t>E. 3</w:t>
      </w:r>
    </w:p>
    <w:p>
      <w:r>
        <w:t>Sachverhalt und Würdigung</w:t>
      </w:r>
    </w:p>
    <w:p>
      <w:r>
        <w:rPr>
          <w:b/>
        </w:rPr>
        <w:t>E. 3.1</w:t>
      </w:r>
    </w:p>
    <w:p>
      <w:r>
        <w:t>Vorab ist festzuhalten, dass ein Verzicht auf eine Stellungnahme nicht mit der Anerkennung des (vorsorglichen) Anspruchs gleichgesetzt werden kann. Ent- sprechend bleibt zu prüfen, ob der geltend gemachte Anspruch besteht. Aller- dings gelten damit die Tatsachenvorbringen der Gesuchstellerin im vorliegenden</w:t>
      </w:r>
    </w:p>
    <w:p>
      <w:r>
        <w:t>- 4 - Verfahren als unbestritten, weshalb nachfolgend von dem im Gesuch geschilder- ten Sachverhalt auszugehen ist.</w:t>
      </w:r>
    </w:p>
    <w:p>
      <w:r>
        <w:rPr>
          <w:b/>
        </w:rPr>
        <w:t>E. 3.2</w:t>
      </w:r>
    </w:p>
    <w:p>
      <w:r>
        <w:t>Die Gesuchstellerin stützt sich auf einen Werkvertrag vom 21./26./27. Mai 2020, den sie mit der F._____ SA (nachfolgend: "Bestellerin"), welche die Ge- suchsgegnerin zu 100% kontrolliert, abgeschlossen hat. Mit dem Werkvertrag übertrug die Bestellerin der Gesuchstellerin die Erstellung des Neubaus eines Da- tencenters auf dem Grundstück der Gesuchsgegnerin. Mit dem Bau des Daten- centers begann die Gesuchstellerin am 22. November 2019 und zog für die Arbei- ten diverse Subunternehmer bei. Das Datencenter war am 17. Dezember 2021 zur Teilabnahme bereit und konnte von der Bestellerin – obwohl gewisse Arbeiten noch ausstehend waren – in Betrieb genommen werden. Gemäss den Erwartun- gen der Gesuchstellerin (im Gesuch) werden bzw. wurden die letzten Bauarbeiten Ende April 2022 vollständig abgeschlossen (act. 1 Rz. 9 ff.; act. 3/3–5). Die Ge- suchstellerin verlangt von der Bestellerin einen noch ausstehenden Werklohn in der Höhe von CHF 23'551'668.47. Dieser Betrag stellt gemäss der Kalkulation der Gesuchstellerin die Differenz dar zwischen der gesamten Werklohnforderung von CHF 192'087'357.80 und dem von der Bestellerin anerkannten und bezahlten Be- trag von CHF 168'507'363.65, abzüglich einem weiteren bezahlten Betrag von CHF 27'325.68 (vgl. act. 1 Rz. 16 ff.; act. 3/8–12), was korrekterweise einen (leicht höheren) Differenzbetrag von CHF 23'552'668.47 ergeben würde. Den Be- ginn des Verzugszinsenlaufs am 2. März 2022 begründet die Gesuchstellerin mit der zuletzt ausgestellten Kostenaufstellung ("Interim Application/Certificate Nr. 27") vom 31. Januar 2022 und der Regelung im Payment Schedule zum Werkver- trag (30 Tage Zahlungsfrist), was unbestritten geblieben ist. Die Höhe des Ver- zugszinses von 3% ergibt sich aus Ziffer 1.1.6.20 des Werkvertrags (act. 1 Rz. 16 f., 21, 34; act. 3/3, 3/9). Damit ist das Vorliegen von pfandberechtigten Arbeiten, die Höhe des Pfandan- spruchs und die Einhaltung der Viermonatsfrist gemäss Art. 839 Abs. 2 ZGB glaubhaft gemacht.</w:t>
      </w:r>
    </w:p>
    <w:p>
      <w:r>
        <w:rPr>
          <w:b/>
        </w:rPr>
        <w:t>E. 3.3</w:t>
      </w:r>
    </w:p>
    <w:p>
      <w:r>
        <w:t>Das Gesuch um vorläufige Eintragung eines Bauhandwerkerpfandrechts ist daher gutzuheissen.</w:t>
      </w:r>
    </w:p>
    <w:p>
      <w:r>
        <w:t>- 5 -</w:t>
      </w:r>
    </w:p>
    <w:p>
      <w:r>
        <w:rPr>
          <w:b/>
        </w:rPr>
        <w:t>E. 4</w:t>
      </w:r>
    </w:p>
    <w:p>
      <w:r>
        <w:t>Fristansetzung zur Prosequierung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 ten und begründeten Gesuches (Art. 144 Abs. 2 ZPO); dieses würde in einem kostenpflichtigen Nachverfahren behandelt. Als zureichende Gründe für eine Fris- terstreckung gemäss Art. 144 Abs. 2 ZPO werden nur entweder die Zustimmung der Gegenpartei oder von der Partei nicht vorhersehbare oder nicht beeinflussba- re Hinderungsgründe anerkannt.</w:t>
      </w:r>
    </w:p>
    <w:p>
      <w:r>
        <w:rPr>
          <w:b/>
        </w:rPr>
        <w:t>E. 5</w:t>
      </w:r>
    </w:p>
    <w:p>
      <w:r>
        <w:t>Kosten- und Entschädigungsfolgen</w:t>
      </w:r>
    </w:p>
    <w:p>
      <w:r>
        <w:rPr>
          <w:b/>
        </w:rPr>
        <w:t>E. 5.1</w:t>
      </w:r>
    </w:p>
    <w:p>
      <w:r>
        <w:t>Die Höhe der Gerichtsgebühr wird nach der Gebührenverordnung des Obergerichts vom 8. September 2010 bestimmt (GebV OG; Art. 96 ZPO i.V.m. § 199 Abs. 1 GOG) und richtet sich in erster Linie nach dem Streitwert bzw. nach dem tatsächlichen Streitinteresse (§ 2 Abs. 1 lit. a GebV OG). Beim vorliegenden Streitwert von CHF 23'551'668.47 beläuft sich die ordentliche Gerichtsgebühr auf rund CHF 190'000.–. In Anwendung von § 4 Abs. 1 und 2 sowie § 8 Abs. 1 GebV OG ist die Gerichtsgebühr unter Berücksichtigung des Äquivalenzprinzips auf CHF 30'000.– festzusetzen.</w:t>
      </w:r>
    </w:p>
    <w:p>
      <w:r>
        <w:rPr>
          <w:b/>
        </w:rPr>
        <w:t>E. 5.2</w:t>
      </w:r>
    </w:p>
    <w:p>
      <w:r>
        <w:t>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w:t>
      </w:r>
    </w:p>
    <w:p>
      <w:r>
        <w:rPr>
          <w:b/>
        </w:rPr>
        <w:t>E. 5.3</w:t>
      </w:r>
    </w:p>
    <w:p>
      <w:r>
        <w:t>Auch der Entscheid betreffend die Entschädigungsfolgen ist dem ordentli- chen Verfahren vorbehalten. Für den Fall, dass die Gesuchstellerin ihren An-</w:t>
      </w:r>
    </w:p>
    <w:p>
      <w:r>
        <w:t>- 6 - spruch nicht prosequieren sollte, ist der Gesuchsgegnerin mangels Antrags keine Parteientschädigung zuzusprechen (vgl. act. 9).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