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HE210014 vom 2. März 2021</w:t>
      </w:r>
    </w:p>
    <w:p>
      <w:r>
        <w:t>Zh Handelsgericht, 2021-03-02, DE</w:t>
      </w:r>
    </w:p>
    <w:p>
      <w:r>
        <w:rPr>
          <w:b/>
        </w:rPr>
        <w:t xml:space="preserve">Quelle: </w:t>
      </w:r>
      <w:r>
        <w:t>https://mcp.opencaselaw.ch/entscheid/zh_handelsgericht_HE210014</w:t>
      </w:r>
    </w:p>
    <w:p>
      <w:r>
        <w:t>FR: ZH_HANDELSGERICHT HE210014 du 2 mars 2021</w:t>
      </w:r>
    </w:p>
    <w:p>
      <w:r>
        <w:t>IT: ZH_HANDELSGERICHT HE210014 del 2 marzo 2021</w:t>
      </w:r>
    </w:p>
    <w:p>
      <w:pPr>
        <w:pStyle w:val="Heading2"/>
      </w:pPr>
      <w:r>
        <w:t>Erwägungen</w:t>
      </w:r>
    </w:p>
    <w:p>
      <w:r>
        <w:rPr>
          <w:b/>
        </w:rPr>
        <w:t>E. 2</w:t>
      </w:r>
    </w:p>
    <w:p>
      <w:r>
        <w:t>Zuständigkeit Die örtliche und sachliche Zuständigkeit des Einzelgerichts am Handelsgericht des Kantons Zürich ist gegeben (Art. 13 i.V.m. Art. 10 Abs. 1 lit. b ZPO und Art. 6 Abs. 2 und 5 ZPO i.V.m. § 45 lit. b GOG).</w:t>
      </w:r>
    </w:p>
    <w:p>
      <w:r>
        <w:rPr>
          <w:b/>
        </w:rPr>
        <w:t>E. 3</w:t>
      </w:r>
    </w:p>
    <w:p>
      <w:r>
        <w:t>Fehlendes Vollstreckungsbegehren Die Gesuchstellerin beantragt, Dritte (in erster Linie die C._____ AG, eventualiter das Konkursamt Küsnacht und subeventualiter E._____) anzuweisen, eine Erklä- rung abzugeben. Sie beantragt den Erlass eines Befehls (Art. 262 lit. c. ZPO), al-</w:t>
      </w:r>
    </w:p>
    <w:p>
      <w:r>
        <w:t>- 4 - lerdings ohne Vollstreckungsmassnahmen zu beantragen (Art. 267 ZPO), wes- halb das Massnahmebegehren bereits aus diesem Grund abzuweisen ist (Dispo- sitionsmaxime). Da in der Literatur umstritten ist, ob ein Antrag gestellt werden muss (so z.B. BK ZPO-Güngerich, Art. 267 Rz. 2) oder ob Vollstreckungsmass- nahmen von Amtes wegen anzuordnen sind (so z.B. BSK ZPO-Sprecher, Art. 267 Rz. 4), ist im Folgenden dennoch auf die Voraussetzungen des Erlasses von vor- sorglichen Massnahmen einzugehen.</w:t>
      </w:r>
    </w:p>
    <w:p>
      <w:r>
        <w:rPr>
          <w:b/>
        </w:rPr>
        <w:t>E. 4</w:t>
      </w:r>
    </w:p>
    <w:p>
      <w:r>
        <w:t>Voraussetzungen für vorsorgliche Massnahmen</w:t>
      </w:r>
    </w:p>
    <w:p>
      <w:r>
        <w:rPr>
          <w:b/>
        </w:rPr>
        <w:t>E. 4.1</w:t>
      </w:r>
    </w:p>
    <w:p>
      <w:r>
        <w:t>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Damit vorsorgliche Massnahmen angeordnet werden können, muss zunächst der Verfü- gungsanspruch glaubhaft gemacht werden. In diesem Zusammenhang stellt das Gericht eine Hauptsachenprognose (nachfolgend E. 3.2). Weiter muss als Verfü- gungsgrund glaubhaft gemacht werden, dass ein nicht leicht wieder gutzuma- chender Nachteil droht. In diesem Zusammenhang stellt das Gericht eine Nach- teilsprognose. Weiter muss das Verhältnismässigkeitsprinzip beachtet werden. In diesem Zusammenhang ist eine Abwägung der involvierten Parteiinteressen vor- zunehmen. Schliesslich wird vorausgesetzt, dass eine gewisse zeitliche Dringlich- keit vorliegt. Diese wird bejaht, wenn der nicht leicht wieder gutzumachende Nachteil nicht anders als durch den Erlass vorsorglicher Massnahmen abgewen- det und das Resultat des Hauptverfahrens nicht abgewartet werden kann (nach- folgend E. 3.3).</w:t>
      </w:r>
    </w:p>
    <w:p>
      <w:r>
        <w:rPr>
          <w:b/>
        </w:rPr>
        <w:t>E. 4.2</w:t>
      </w:r>
    </w:p>
    <w:p>
      <w:r>
        <w:t>Im Rahmen der Prüfung der Hauptsachenprognose ist zunächst zu klären, ob der mit den Rechtsbegehren eingeklagte Anspruch glaubhaft gemacht ist. a. Die Gesuchstellerin macht geltend, die B._____ AG in Liquidation halte bei der F._____ AG (ehemals G._____ AG, unterdessen übernommen von H._____ AG) treuhänderisch Vermögenswerte, die ihr (der Gesuchstellerin) wirtschaftlich gehörten (act. 1 Rz. 12). Die Bundesanwaltschaft habe diese Vermögenswerte</w:t>
      </w:r>
    </w:p>
    <w:p>
      <w:r>
        <w:t>- 5 - bereits im Jahr 2009 in einem Strafverfahren gegen Verantwortliche der B._____ AG in Liquidation beschlagnahmt. Sie (die Gesuchstellerin) habe sich mangels Aktivlegitimation vergeblich um die Freigabe der ihr gehörenden Vermögenswerte bemüht, weil die Freigabe nur von der Gesuchsgegnerin selbst verlangt werden könne (act. 1 Rz. 17). b. Gemäss Art. 382 Abs. 1 StPO kann jede Partei, die ein "rechtlich geschütz- tes Interesse" an der Aufhebung oder Änderung eines Entscheides hat, ein Rechtsmittel ergreifen. Bei der strafprozessualen Beschlagnahmung von Vermö- genswerten hat nach der Rechtsprechung nur der Eigentümer oder der Inhaber eines beschränkten dinglichen Rechts ein rechtlich geschütztes Interesse, sich gegen die Beschlagnahmung zu wehren. Der bloss wirtschaftlich Berechtigte ist nicht aktivlegitimiert (BGE 1B_490/2020 vom 9. Dezember 2020, E. 2.2. mit zahl- reichen Hinweisen [eingereicht als act. 3/6]). Die Gesuchstellerin verlangt daher, dass die Liquidatorin, der Konkursverwalter bzw. der Verwaltungsrat der Ge- suchsgegnerin anzuweisen sei, die Freigabe der beschlagnahmten Vermögens- werte, die ihr (der Gesuchstellerin) gehörten, zu verlangen. Wie im Folgenden zu zeigen sein wird, kann diesem Begehren aus zwei Gründen nicht entsprochen werden. c. Erstens macht die Gesuchstellerin nicht glaubhaft, dass die in Rechtsbegeh- ren Ziff. 1.1., 1.2. und 1.3. genannten Personen, von denen die Abgabe einer Wil- lenserklärung für die Gesuchsgegnerin verlangt wird, dazu berechtigt bzw. ver- pflichtet sind. aa. In Ziffer 1.1. wird beantragt, die angebliche Liquidatorin der Gesuchsgegne- rin, die C._____ AG, sei anzuweisen, in einem Verfahren vor Bundesstrafgericht eine Erklärung abzugeben. Die C._____ AG macht im Wesentlichen geltend, dass sie mit der Konkurseröffnung über die Gesuchsgegnerin am 25. Februar 2015 sämtliche Verfügungsbefugnis verloren habe und fortan das Konkursamt Küs- nacht zuständig gewesen sei, für die Gesuchsgegnerin zu handeln (act. 7 Rz. 8). Wie es sich damit verhält, kann dahingestellt bleiben, weil die C._____ AG jeden- falls am 2. Februar 2021 als Liquidatorin der Gesuchsgegnerin im Handelsregister</w:t>
      </w:r>
    </w:p>
    <w:p>
      <w:r>
        <w:t>- 6 - gelöscht wurde (Tagebucheintrag vom 2. Februar 2021) und spätestens seit die- sem Zeitpunkt nicht mehr befugt ist, für die Gesuchsgegnerin zu handeln. bb. In Ziff. 1.2. wird eventualiter verlangt, dass das Konkursamt Küsnacht anzu- weisen sei, für die Gesuchsgegnerin die verlangte Erklärung abzugeben. Damit macht es sich die Gesuchstellerin zu einfach. Gemäss Art. 197 SchKG bildet das gesamte Vermögen des Gemeinschuldners (hier der Gesuchsgegnerin) die Kon- kursmasse. Dazu gehört auch Eigentum, das der Gemeinschuldner treuhände- risch für einen Dritten (hier angeblich für die Gesuchstellerin) hält (BSK SchKG II- Handschin/Hunkeler, Art. 197 Rz. 71). Ob fiduziarische Vermögenswerte aufgrund eines Begehrens aus der Konkursmasse ausgesondert werden, hat die Konkurs- verwaltung zu entscheiden. Im vorliegenden Fall hat die Konkursverwaltung auf- grund der Akten noch nicht über die Aussonderungsbegehren entschieden (act. 3/4 S. 2 unten ["Für beide Kundenbeziehungen wurden vorsorglich ebenfalls Aussonderungsbegehren Dritter gestellt, wobei diese Begehren angesichts der Ausgangslage von der Konkursverwaltung noch nicht näher geprüft wurden" (Hervorhebung durch das Gericht)]). Das Gericht darf im vorliegenden Massnah- meverfahren nicht in eine allfällige Kompetenz der Konkursverwaltung eingreifen, zumal dem Gericht die erforderlichen Kenntnisse über das Vorliegen eines Treu- handverhältnisses ohnehin fehlen würden (vgl. nachfolgend lit. d). Abgesehen da- von scheint das Konkursamt Küsnacht in einem angeblich bei der II. Zivilkammer des Zürcher Obergerichtes hängigen Verfahren seine Zuständigkeit in Frage zu stellen. Es gibt daher keine Grundlage, dem Konkursamt Küsnacht zu befehlen, die beantragte Willenserklärung im Verfahren vor Bundesstrafgericht abzugeben. cc. In Ziff. 1.3. wird subeventualiter verlangt, dass E._____ anzuweisen sei, die verlangte Erklärung abzugeben. Dieses Begehren ist schon deshalb unbegründet, weil E._____ (nach der Konkurseröffnung, der Löschung und der späteren Wie- dereintragung der Gesuchsgegnerin) keine Vertretungsberechtigung hat, wovon auch die Gesuchstellerin selbst ausgeht (act. 14 Rz. 8). dd. Zusammenfassend ist festzuhalten, dass nicht glaubhaft gemacht wurde, dass von der C._____ AG, dem Konkursamt Küsnacht oder E._____ die Abgabe der gewünschten Willenserklärung verlangt werden kann.</w:t>
      </w:r>
    </w:p>
    <w:p>
      <w:r>
        <w:t>- 7 - d. Andererseits ist auch die wirtschaftliche Berechtigung der Gesuchstellerin an dem von der Bundesanwaltschaft beschlagnahmten Vermögen nicht glaubhaft gemacht. Dem Antrag des Konkursamtes Küsnacht vom 23. Juni 2015 kann zwar entnommen werden, dass in Bezug auf beschlagnahmte Bank- und Depotgutha- ben der Gesuchsgegnerin bei der I._____ SA (bei Konkurseröffnung CHF 6'800'000.00) und bei der F._____ SA (bei Konkurseröffnung CHF 13'200'000) Aussonderungsansprüche Dritter geltend gemacht worden sei- en. Allerdings seien die "Begehren angesichts der Ausgangslage von der Kon- kursverwaltung noch nicht näher geprüft" worden (act. 3/4 S. 2 unten [Hervorhe- bung durch das Gericht]). Zudem wird nirgends festgehalten, dass es sich bei den aussonderungsberechtigten Dritten um die Gesuchstellerin handelt würde. Die Gesuchstellerin selbst trägt auch nichts zur Klärung bei, weil sie den Treuhand- vertrag nicht einreicht und auch keine anderen Belege über die treuhänderisch geführte Vermögensanlage ins Recht legt. Nicht hilfreich ist auch der Umstand, dass das Konkursamt von Vermögen von (namentlich nicht bekannten) Dritten von CHF 13,2 Mio. bei der F._____AG spricht, während die Gesuchstellerin ihr treuhänderisch angelegtes Vermögen bei der F._____ ohne irgendwelche Belege auf rund CHF 15 Mio. (act. 1 Rz. 6) bzw. rund CHF 15.2 Mio. beziffert (act. 1 Rz. 24). Damit ist die wirtschaftliche Berechtigung der Gesuchstellerin nur behauptet, nicht aber glaubhaft gemacht worden.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