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HE200375 vom 10. Dezember 2020</w:t>
      </w:r>
    </w:p>
    <w:p>
      <w:r>
        <w:t>Zh Handelsgericht, 2020-12-10, DE</w:t>
      </w:r>
    </w:p>
    <w:p>
      <w:r>
        <w:rPr>
          <w:b/>
        </w:rPr>
        <w:t xml:space="preserve">Quelle: </w:t>
      </w:r>
      <w:r>
        <w:t>https://mcp.opencaselaw.ch/entscheid/zh_handelsgericht_HE200375</w:t>
      </w:r>
    </w:p>
    <w:p>
      <w:r>
        <w:t>FR: ZH_HANDELSGERICHT HE200375 du 10 décembre 2020</w:t>
      </w:r>
    </w:p>
    <w:p>
      <w:r>
        <w:t>IT: ZH_HANDELSGERICHT HE200375 del 10 dicembre 2020</w:t>
      </w:r>
    </w:p>
    <w:p>
      <w:pPr>
        <w:pStyle w:val="Heading2"/>
      </w:pPr>
      <w:r>
        <w:t>Erwägungen</w:t>
      </w:r>
    </w:p>
    <w:p>
      <w:r>
        <w:rPr>
          <w:b/>
        </w:rPr>
        <w:t>E. 1</w:t>
      </w:r>
    </w:p>
    <w:p>
      <w:r>
        <w:t>Bei der Gesuchsgegnerin liegt ein schwerwiegender Organisationsmangel vor. Sie verfügt über − keinen (gesetzmässigen) Verwaltungsrat (Art. 707 OR, Art. 718 OR), − keine vertretungsberechtigte Person mit Wohnsitz in der Schweiz (Art. 718 Abs. 4 OR).</w:t>
      </w:r>
    </w:p>
    <w:p>
      <w:r>
        <w:rPr>
          <w:b/>
        </w:rPr>
        <w:t>E. 2</w:t>
      </w:r>
    </w:p>
    <w:p>
      <w:r>
        <w:t>Gestützt auf das Gesuch des Kantons Zürich (Handelsregisteramt) wurde der Gesuchsgegnerin Frist zur Behebung des Mangels angesetzt (Prot. S. 2). Die Frist verstrich ungenutzt. Androhungsgemäss ist die Gesuchsgegnerin aufzulösen und ihre Liquidation nach den Vorschriften über den Konkurs anzuordnen (Art. 731b Abs. 1bis Ziff. 3 OR).</w:t>
      </w:r>
    </w:p>
    <w:p>
      <w:r>
        <w:rPr>
          <w:b/>
        </w:rPr>
        <w:t>E. 3</w:t>
      </w:r>
    </w:p>
    <w:p>
      <w:r>
        <w:t>Die Gerichtsgebühr wird festgesetzt auf CHF 2'200.00.</w:t>
      </w:r>
    </w:p>
    <w:p>
      <w:r>
        <w:rPr>
          <w:b/>
        </w:rPr>
        <w:t>E. 4</w:t>
      </w:r>
    </w:p>
    <w:p>
      <w:r>
        <w:t>Die Kosten werden der Gesuchsgegnerin auferlegt.</w:t>
      </w:r>
    </w:p>
    <w:p>
      <w:r>
        <w:rPr>
          <w:b/>
        </w:rPr>
        <w:t>E. 5</w:t>
      </w:r>
    </w:p>
    <w:p>
      <w:r>
        <w:t>Die Gesuchsgegnerin wird verpflichtet, dem Gesuchsteller eine Umtriebsentschädigung von CHF 300.00 zu bezahlen.</w:t>
      </w:r>
    </w:p>
    <w:p>
      <w:r>
        <w:rPr>
          <w:b/>
        </w:rPr>
        <w:t>E. 6</w:t>
      </w:r>
    </w:p>
    <w:p>
      <w:r>
        <w:t>Schriftliche Mitteilung an die Parteien (an die Gesuchsgegnerin zusätzlich durch Publikation im Schweizerischen Handelsamtsblatt) sowie nach Eintritt der Rechtskraft an das Betreibungsamt Zürich 6 und unter Beilage der Einlegerakten des Gesuchstellers an das Konkursamt Fluntern-Zürich. Das Konkursamt hat die Einlegerakten des Gesuchstellers zu behalten, oder – falls es sie nicht (mehr) benötigt – an das Handelsregisteramt weiterzuleiten. Sie sind dem Handelsgericht nur dann zu retournieren, wenn zufolge einer Wiederaufnahme des Verfahrens eine entsprechende Aufforderung erfolgt.</w:t>
      </w:r>
    </w:p>
    <w:p>
      <w:r>
        <w:rPr>
          <w:b/>
        </w:rPr>
        <w:t>E. 7</w:t>
      </w:r>
    </w:p>
    <w:p>
      <w:r>
        <w:t>Eine bundesrechtliche Beschwerde gegen diesen Entscheid ist innerhalb von 30 Tagen von der Zustellung an beim Schweizerischen Bundesgericht, 1000 Lausanne 14, einzureichen. Zulässigkeit und Form einer solchen Beschwerde richten sich nach Art. 72 ff. (Beschwerde in Zivilsachen) oder Art. 113 ff. (subsidiäre Verfassungsbeschwerde) in Verbindung mit Art. 42 und 90 ff. des Bundesgesetzes über das Bundesgericht (BGG). Der Streitwert übersteigt CHF 30'000.00. Zürich, 10. Dezember 2020 Handelsgericht des Kantons Zürich Einzelgericht Gerichtsschreiberin: Nadja Kiener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