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HE200270 vom 23. Dezember 2020</w:t>
      </w:r>
    </w:p>
    <w:p>
      <w:r>
        <w:t>Zh Handelsgericht, 2020-12-23, DE</w:t>
      </w:r>
    </w:p>
    <w:p>
      <w:r>
        <w:rPr>
          <w:b/>
        </w:rPr>
        <w:t xml:space="preserve">Quelle: </w:t>
      </w:r>
      <w:r>
        <w:t>https://mcp.opencaselaw.ch/entscheid/zh_handelsgericht_HE200270</w:t>
      </w:r>
    </w:p>
    <w:p>
      <w:r>
        <w:t>FR: ZH_HANDELSGERICHT HE200270 du 23 décembre 2020</w:t>
      </w:r>
    </w:p>
    <w:p>
      <w:r>
        <w:t>IT: ZH_HANDELSGERICHT HE200270 del 23 dicembre 2020</w:t>
      </w:r>
    </w:p>
    <w:p>
      <w:pPr>
        <w:pStyle w:val="Heading2"/>
      </w:pPr>
      <w:r>
        <w:t>Erwägungen</w:t>
      </w:r>
    </w:p>
    <w:p>
      <w:r>
        <w:rPr>
          <w:b/>
        </w:rPr>
        <w:t>E. 2</w:t>
      </w:r>
    </w:p>
    <w:p>
      <w:r>
        <w:t>Die Anweisung sei superprovisorisch (d.h. sofort nach Eingang des Gesuchs ohne Anhörung der Gesuchsgegnerin) zu verfügen und dem Grundbuchamt D._____ unverzüglich zur vorläufigen Eintragung im Grundbuch mitzuteilen.</w:t>
      </w:r>
    </w:p>
    <w:p>
      <w:r>
        <w:rPr>
          <w:b/>
        </w:rPr>
        <w:t>E. 2.1</w:t>
      </w:r>
    </w:p>
    <w:p>
      <w:r>
        <w:t>Die inzwischen konkursite I._____ AG erbrachte auf der streitbetroffenen Liegenschaft der Gesuchsgegnerin als Subunternehmerin der C._____ (Switzer- land) AG sowie aufgrund eines direkten Vertragsverhältnisses mit der Gesuchs- gegnerin ab dem Sommer 2019 diverse Leistungen im Bereich Heizungs- und Kältetechnik. In diesem Zusammenhang beauftragte sie die Gesuchstellerin mit</w:t>
      </w:r>
    </w:p>
    <w:p>
      <w:r>
        <w:t>- 4 - Hilfsarbeiten bei Montage und Materialtransporten (act. 1 N 4 f.). Die Auftragser- teilungen erfolgten jeweils mündlich durch den Projektleiter der I._____ AG (act. 1 N 6).</w:t>
      </w:r>
    </w:p>
    <w:p>
      <w:r>
        <w:rPr>
          <w:b/>
        </w:rPr>
        <w:t>E. 2.2</w:t>
      </w:r>
    </w:p>
    <w:p>
      <w:r>
        <w:t>Die Gesuchstellerin macht geltend, in den Kalenderwochen 6-12 des Jah- res 2020, zuletzt am 20. März 2020 (act. 1 N 18), verschiedene Arbeiten bzw. Leistungen auf der Liegenschaft der Gesuchsgegnerin erbracht zu haben, vor- nehmlich Hilfsarbeiten bei Montagen sowie Transportunterstützung. Die Vergü- tung für diese Leistungen sei von der I._____ AG mit insgesamt vier Rechnungen (act. 3/8, act. 3/10, act. 3/11 und act. 3/13) eingefordert worden, welche allerdings alle infolge des Konkurses der I._____ AG unbezahlt geblieben seien. Die Ein- satzzeiten der Mitarbeiter der Gesuchstellerin seien in den jeweiligen, vom Mon- tagechef der I._____ AG unterzeichneten Arbeitsrapporten ausgewiesen. Die I._____ AG habe in der Vergangenheit nie Beanstandungen angebracht und alle Rechnungen der Gesuchstellerin stets bezahlt (act. 1 N 8 ff.).</w:t>
      </w:r>
    </w:p>
    <w:p>
      <w:r>
        <w:rPr>
          <w:b/>
        </w:rPr>
        <w:t>E. 2.3</w:t>
      </w:r>
    </w:p>
    <w:p>
      <w:r>
        <w:t>Die Gesuchsgegnerin bestreitet die Einhaltung der viermonatigen Frist ge- mäss Art. 839 Abs. 2 ZGB. So handle es sich bei den Leistungen der Gesuchstel- lerin am 18. März 2020 (act. 3/18) um Transportfahrten auf der Baustelle, welche nicht pfandberechtigt seien. Die Rechnung vom 14. März 2020 (act. 3/11), auf welche die Gesuchstellerin zur Glaubhaftmachung der Fristwahrung verweise und welche zwischen dem 16. und dem 20. März 2020 erbrachte Arbeiten in Rech- nung stelle, sei zudem mit dem 14. März 2020 datiert. Die Gesuchstellerin erkläre diesen Widerspruch auch mit ihrem Hinweis auf die undatierten Arbeitsrapporte nicht (act. 12 N 4). Ohnehin seien aber die von der Gesuchstellerin erbrachten Leistungen generell nicht pfandberechtigt, da es sich um Transporte auf die Bau- stelle bzw. innerhalb der Baustelle, konkret um den Ablad und die Bereitlegung von Rohren handle. Die bauhandwerklichen Leistungen seien mit der Schwester- firma der Gesuchstellerin, der J._____ GmbH, abgerechnet worden (act. 12 N 5).</w:t>
      </w:r>
    </w:p>
    <w:p>
      <w:r>
        <w:rPr>
          <w:b/>
        </w:rPr>
        <w:t>E. 2.4</w:t>
      </w:r>
    </w:p>
    <w:p>
      <w:r>
        <w:t>Die Nebenintervenientin bringt vor, die Gesuchstellerin behaupte eine (mündliche) Auftragserteilung. Die Eintragung eines Bauhandwerkerpfandrechts setze sachlogisch aber einen Werkvertrag voraus, ein blosser Auftrag genüge nicht (act. 13 N 8 ff.). Die Gesuchstellerin lege darüber hinaus nicht dar, worin die</w:t>
      </w:r>
    </w:p>
    <w:p>
      <w:r>
        <w:t>- 5 - behaupteten Hilfsarbeiten bei Montagen und die Transportunterstützung bestan- den hätten. Aus den eingereichten Arbeitsrapporten würden sich lediglich der Zeitaufwand, nicht aber die konkret erbrachten Arbeiten ergeben. Die Gesuchstel- lerin habe Rohre transportiert und Verpackungsmaterial entsorgt, was keine pfandberechtigten Arbeiten darstellen würden (act. 13 N 12 ff.).</w:t>
      </w:r>
    </w:p>
    <w:p>
      <w:r>
        <w:rPr>
          <w:b/>
        </w:rPr>
        <w:t>E. 3</w:t>
      </w:r>
    </w:p>
    <w:p>
      <w:r>
        <w:t>Auflage, Zürich/Basel/Genf 2011, N 171). Über das Gesuch um provisorische Eintragung eines Bauhandwerkerpfandrechts wird im summarischen Verfahren entschieden (Art. 248 lit. a ZPO i.V.m. Art. 249 lit. d Ziff. 5 ZPO), wobei die Voraussetzungen des Anspruchs auf Eintragung nur glaubhaft zu machen sind (Art. 261 Abs. 1 ZPO; Art. 961 Abs. 3 ZGB). An die Glaubhaftmachung sind nach konstanter Lehre und Praxis keine strengen Anfor- derungen zu stellen (BGE 86 I 265 E. 3; 102 Ia 81 E. 2; 112 Ib 482 E. 3b; Urteil des Bundesgerichts vom 12. September 2003 [5P.221/2003] E. 3.2.1). Das her- abgesetzte Beweismass der Glaubhaftmachung ändert jedoch nichts an der Be- hauptungs- und Substantiierungslast der Gesuchstellerin. In Bezug auf den Inhalt</w:t>
      </w:r>
    </w:p>
    <w:p>
      <w:r>
        <w:t>- 6 - des Gesuchs sind die Vorgaben des ordentlichen Verfahrens massgebend (Art. 219 i.V.m. Art. 221 ZPO). Das Gesuch hat insbesondere die Tatsachenbe- hauptungen (Art. 221 Abs. 1 lit. d ZPO) zu enthalten (BSK ZPO-MAZAN, 3. Aufla- ge, Basel 2017, N 4 und 9 zu Art. 252 ZPO). Der Behauptungs- und Substantiie- rungslast hat die Gesuchstellerin bereits im Rahmen ihrer Gesuchsbegründung nachzukommen (vgl. BSK ZPO-WILLISEGGER, a.a.O., N 26 zu Art. 221 ZPO). Die Behauptungslast verlangt von der Partei, dass sie die Tatsachen angibt, auf die sie ihre Begehren stützt (Art. 55 Abs. 1 ZPO). Aus den Behauptungen sollen sich die Tatbestandsmerkmale der anwendbaren Rechtsnormen ergeben (BSK ZPO- WILLISEGGER, a.a.O., N 27 zu Art. 221 ZPO). Dem Bauunternehmer obliegt es da- her nicht nur, Bestand und Höhe der von ihm geltend gemachten und zu sichern- den Vergütungsforderung glaubhaft zu machen; er hat auch sämtliche übrigen in Art. 837 Abs. 1 Ziff. 3, Art. 837 Abs. 2 und Art. 839 Abs. 2 und 3 ZGB genannten Voraussetzungen kurz darzulegen (vgl. SCHUMACHER RAINER, Ergänzungsband, a.a.O., N 182).</w:t>
      </w:r>
    </w:p>
    <w:p>
      <w:r>
        <w:rPr>
          <w:b/>
        </w:rPr>
        <w:t>E. 4</w:t>
      </w:r>
    </w:p>
    <w:p>
      <w:r>
        <w:t>Würdigung</w:t>
      </w:r>
    </w:p>
    <w:p>
      <w:r>
        <w:rPr>
          <w:b/>
        </w:rPr>
        <w:t>E. 4.1</w:t>
      </w:r>
    </w:p>
    <w:p>
      <w:r>
        <w:t>Die Gesuchstellerin macht geltend, auf der Liegenschaft der Gesuchsgeg- nerin "vornehmlich Hilfsarbeiten bei Montagen wie auch Transportunterstützung" erbracht zu haben (act. 1 N 9). Weitere Angaben zur Natur der konkreten Leis- tungen fehlen. Die von der Gesuchstellerin eingereichten Rechnungen (act. 3/8, act. 3/10, act. 3/11 und act. 3/13) enthalten ebenfalls keine weiterführenden In- formationen; auch die Arbeitsrapporte (act. 3/9a-h und act. 3/12a-f) weisen soweit ersichtlich bloss den Stundenaufwand, nicht aber die konkret erbrachten Leistun- gen aus.</w:t>
      </w:r>
    </w:p>
    <w:p>
      <w:r>
        <w:rPr>
          <w:b/>
        </w:rPr>
        <w:t>E. 4.2</w:t>
      </w:r>
    </w:p>
    <w:p>
      <w:r>
        <w:t>Vor diesem Hintergrund trifft es nicht zu, dass die Gesuchstellerin mit den eingereichten Unterlagen und der dazugehörigen Begründung die Anforderungen an die Glaubhaftmachung ihres Anspruchs "erheblich übertrifft" (act. 1 N 13). Sie hat es im Gegenteil unterlassen, die von ihr erbrachten Arbeiten konkret zu be- haupten und deren Pfandberechtigung glaubhaft zu machen. Nicht objektspezifi- sche Transport- und Entsorgungsleistungen sind grundsätzlich nicht pfandberech- tigt. Konkrete eigene, pfandberechtigte Leistungen der Gesuchstellerin, insbeson-</w:t>
      </w:r>
    </w:p>
    <w:p>
      <w:r>
        <w:t>- 7 - dere im Zusammenhang mit der Montage nicht näher spezifizierter Gegenstände durch Dritte, schildert die Gesuchstellerin nicht. Sie bringt lediglich vor, die kon- kreten Arbeiten könnten nicht nur von den – allerdings nicht näher bezeichneten – Personen, welche die Arbeitsrapporte unterzeichnet hätten, sondern auch vom Projektleiter der I._____ AG, K._____, bestätigt werden (act. 1 N 10 und N 15). Die blosse Bestätigung der geleisteten Stunden, welche aber ohnehin nicht be- stritten wären, durch das Zeugnis von K._____ würde an der ungenügenden Be- hauptung pfandberechtigter Leistungen durch die Gesuchstellerin nichts ändern. Sofern die Gesuchstellerin das genannte Zeugnis offeriert, damit der Zeuge zur Art der konkret erbrachten Leistungen Auskunft gibt, ist daran zu erinnern, dass ein Beweisverfahren nicht dazu dient, fehlende Behauptungen zu ersetzen oder zu ergänzen, sondern solche vielmehr voraussetzt (BGE 144 III 67 ff. E. 2.1 mit Hinweisen). Eine Zeugenbefragung fiele deshalb selbst dann ausser Betracht, wenn die Beweisabnahme mit Blick auf Art. 254 ZPO ausnahmsweise als zulässig erachtet würde.</w:t>
      </w:r>
    </w:p>
    <w:p>
      <w:r>
        <w:rPr>
          <w:b/>
        </w:rPr>
        <w:t>E. 4.3</w:t>
      </w:r>
    </w:p>
    <w:p>
      <w:r>
        <w:t>Zusammenfassend ist somit festzuhalten, dass die Gesuchstellerin die Er- bringung pfandberechtigter Leistungen nicht glaubhaft macht, weshalb sich weite- re Ausführungen zur Sache erübrigen. Das Gesuch ist abzuweisen und das zu- ständige Grundbuchamt ist anzuweisen, das vorläufig eingetragene Pfandrecht zu löschen.</w:t>
      </w:r>
    </w:p>
    <w:p>
      <w:r>
        <w:rPr>
          <w:b/>
        </w:rPr>
        <w:t>E. 5</w:t>
      </w:r>
    </w:p>
    <w:p>
      <w:r>
        <w:t>Kosten- und Entschädigungsfolgen</w:t>
      </w:r>
    </w:p>
    <w:p>
      <w:r>
        <w:rPr>
          <w:b/>
        </w:rPr>
        <w:t>E. 5.1</w:t>
      </w:r>
    </w:p>
    <w:p>
      <w:r>
        <w:t>Ausgangsgemäss wird die Gesuchstellerin kosten- und entschädigungs- pflichtig (Art. 106 Abs. 1 ZPO).</w:t>
      </w:r>
    </w:p>
    <w:p>
      <w:r>
        <w:rPr>
          <w:b/>
        </w:rPr>
        <w:t>E. 5.2</w:t>
      </w:r>
    </w:p>
    <w:p>
      <w:r>
        <w:t>Die Höhe der Gerichtsgebühr wird nach der Gebührenverordnung des Obergerichts bestimmt (Art. 96 ZPO i.V.m. § 199 Abs. 1 GOG) und richtet sich in erster Linie nach dem Streitwert bzw. nach dem tatsächlichen Streitinteresse (§ 2 Abs. 1 lit. a GebV OG). Es ist von einem Streitwert von CHF 47'883.40 auszuge- hen (act. 1 S. 2), wobei die Gerichtsgebühr in Anwendung von § 4 Abs. 1 sowie § 8 Abs. 1 GebV OG auf CHF 2'700.– festzusetzen ist.</w:t>
      </w:r>
    </w:p>
    <w:p>
      <w:r>
        <w:t>- 8 -</w:t>
      </w:r>
    </w:p>
    <w:p>
      <w:r>
        <w:rPr>
          <w:b/>
        </w:rPr>
        <w:t>E. 5.3</w:t>
      </w:r>
    </w:p>
    <w:p>
      <w:r>
        <w:t>Zudem ist die Gesuchstellerin zu verpflichten, der Gesuchsgegnerin in An- wendung von § 4 Abs. 1 sowie § 9 AnwGebV OG eine Parteientschädigung in der Höhe von CHF 3'400.– zu bezahlen.</w:t>
      </w:r>
    </w:p>
    <w:p>
      <w:r>
        <w:rPr>
          <w:b/>
        </w:rPr>
        <w:t>E. 5.4</w:t>
      </w:r>
    </w:p>
    <w:p>
      <w:r>
        <w:t>Der Nebenintervenientin wird im Grundsatz keine Parteientschädigung zu- gesprochen. Sie wahrt Interessen, die sich aus ihrem Rechtsverhältnis zur unter- stützten Hauptpartei und nicht zum Prozessgegner ergeben. Die Zusprechung ei- ner Parteientschädigung ist daher nur im Einzelfall und aus Billigkeitsgründen ge- rechtfertigt (BGE 130 III 571 ff. E. 6; GRABER, in: Basler Kommentar zur Schwei- zerischen Zivilprozessordnung, Spühler/Tenchio/Infanger [Hrsg.], 3. Aufl., Basel 2017, Art. 77 N 3). Die Nebenintervenientin legt keine Gründe dar, die vorliegend eine Parteientschädigung aus Billigkeitsgründen rechtfertigen würden. Es sind auch keine solchen ersichtlich. Es ist ihr deshalb keine Parteientschädigung zu- zusprechen.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