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HE200196 vom 2. Juni 2020</w:t>
      </w:r>
    </w:p>
    <w:p>
      <w:r>
        <w:t>Zh Handelsgericht, 2020-06-02, DE</w:t>
      </w:r>
    </w:p>
    <w:p>
      <w:r>
        <w:rPr>
          <w:b/>
        </w:rPr>
        <w:t xml:space="preserve">Quelle: </w:t>
      </w:r>
      <w:r>
        <w:t>https://mcp.opencaselaw.ch/entscheid/zh_handelsgericht_HE200196</w:t>
      </w:r>
    </w:p>
    <w:p>
      <w:r>
        <w:t>FR: ZH_HANDELSGERICHT HE200196 du 2 juin 2020</w:t>
      </w:r>
    </w:p>
    <w:p>
      <w:r>
        <w:t>IT: ZH_HANDELSGERICHT HE200196 del 2 giugno 2020</w:t>
      </w:r>
    </w:p>
    <w:p>
      <w:pPr>
        <w:pStyle w:val="Heading2"/>
      </w:pPr>
      <w:r>
        <w:t>Erwägungen</w:t>
      </w:r>
    </w:p>
    <w:p>
      <w:r>
        <w:rPr>
          <w:b/>
        </w:rPr>
        <w:t>E. 2</w:t>
      </w:r>
    </w:p>
    <w:p>
      <w:r>
        <w:t>Vorläufige Eintragung des Bauhandwerkerpfandrechts</w:t>
      </w:r>
    </w:p>
    <w:p>
      <w:r>
        <w:rPr>
          <w:b/>
        </w:rPr>
        <w:t>E. 2.1</w:t>
      </w:r>
    </w:p>
    <w:p>
      <w:r>
        <w:t>Gemäss Art. 837 Abs. 1 Ziff. 3 ZGB besteht ein Anspruch auf Errichtung ei- nes gesetzlichen Grundpfandrechtes für die Forderungen der Handwerker oder Unternehmer, die auf einem Grundstück zu Bauten oder anderen Werken, zu Ab-</w:t>
      </w:r>
    </w:p>
    <w:p>
      <w:r>
        <w:t>- 3 - brucharbeiten, zum Gerüstbau, zur Baugrubensicherung oder dergleichen Materi- al und Arbeit oder Arbeit allein geliefert haben. Der Anspruch auf Errichtung eines Bauhandwerkerpfandrechtes richtet sich gegen den jeweiligen Eigentümer des Grundstückes, auch wenn die Leistungen nicht in seinem Auftrag erbracht worden sind. Die Eintragung ins Grundbuch hat bis spätestens vier Monate nach der Voll- endung der Arbeiten zu erfolgen und kann nicht verlangt werden, wenn der Eigen- tümer für die angemeldete Forderung hinreichende Sicherheit leistet (Art. 839 Abs. 2 und 3 ZGB).</w:t>
      </w:r>
    </w:p>
    <w:p>
      <w:r>
        <w:rPr>
          <w:b/>
        </w:rPr>
        <w:t>E. 2.2</w:t>
      </w:r>
    </w:p>
    <w:p>
      <w:r>
        <w:t>Da die Gesuchsgegnerin auf eine Stellungnahme verzichtet hat, ist im vor- liegenden Verfahren unbestritten, dass die Gesuchstellerin für die eingetragene Pfandsumme auf dem Grundstück der Gesuchsgegnerin im Sinne von Art. 837 Abs. 1 Ziff. 3 ZGB Arbeit geleistet und Material geliefert hat (act. 1 S. 1 f.), ein Be- trag in der Höhe der eingetragenen Pfandsumme bisher unbezahlt geblieben ist (act. 1 S. 4 und act. 3/77) und die Viermonatsfrist gemäss Art. 839 Abs. 2 ZGB mit der vorläufigen Eintragung gewahrt wurde (act. 1 S. 1). Demgemäss steht der Be- stätigung der bereits superprovisorisch erfolgten Eintragung des Bauhandwerker- pfandrechts im mit Verfügung vom 18. Mai 2020 verfügten Umfang (act. 4) nichts entgegen.</w:t>
      </w:r>
    </w:p>
    <w:p>
      <w:r>
        <w:rPr>
          <w:b/>
        </w:rPr>
        <w:t>E. 3</w:t>
      </w:r>
    </w:p>
    <w:p>
      <w:r>
        <w:t>Prosequierung Demzufolge ist der Gesuchstellerin Frist anzusetzen, um Klage auf definitive Ein- tragung des Pfandrechts gegen die Gesuchsgegnerin anzuheben. Die Prosequie- rungsfrist ist praxisgemäss auf 60 Tage festzulegen, allfällige Gerichtsferien sind nach der bundesgerichtlichen Rechtsprechung nicht zu berücksichtigen (Urteil des Bundesgerichts 5A_82/2016 vom 16. August 2017 E. 2.5.2). Eine Verlänge- rung dieser Frist ist möglich, bedarf aber eines gesonderten und begründeten Ge- suches (Art. 144 Abs. 2 ZPO); dieses würde in einem kostenpflichtigen Nachver- fahren behandelt. Als zureichende Gründe für eine Fristerstreckung gemäss Art. 144 Abs. 2 ZPO werden nur entweder die Zustimmung der Gegenpartei oder von der Partei nicht vorhersehbare oder nicht beeinflussbare Hinderungsgründe anerkannt.</w:t>
      </w:r>
    </w:p>
    <w:p>
      <w:r>
        <w:t>- 4 -</w:t>
      </w:r>
    </w:p>
    <w:p>
      <w:r>
        <w:rPr>
          <w:b/>
        </w:rPr>
        <w:t>E. 4</w:t>
      </w:r>
    </w:p>
    <w:p>
      <w:r>
        <w:t>Kosten- und Entschädigungsfolgen</w:t>
      </w:r>
    </w:p>
    <w:p>
      <w:r>
        <w:rPr>
          <w:b/>
        </w:rPr>
        <w:t>E. 4.1</w:t>
      </w:r>
    </w:p>
    <w:p>
      <w:r>
        <w:t>Die Höhe der Gerichtsgebühr wird nach der Gebührenverordnung des Obergerichts bestimmt (Art. 96 ZPO i.V.m. § 199 Abs. 1 GOG) und richtet sich in erster Linie nach dem Streitwert bzw. nach dem tatsächlichen Streitinteresse (§ 2 Abs. 1 lit. a GebV OG). Es ist von einem Streitwert von CHF 50'509.40 auszuge- hen, wobei die Gerichtsgebühr in Anwendung von § 4 Abs. 1 und 2 sowie § 8 Abs. 1 GebV OG auf CHF 2'800.– festzusetzen ist.</w:t>
      </w:r>
    </w:p>
    <w:p>
      <w:r>
        <w:rPr>
          <w:b/>
        </w:rPr>
        <w:t>E. 4.2</w:t>
      </w:r>
    </w:p>
    <w:p>
      <w:r>
        <w:t>Über den Pfandanspruch der Gesuchstellerin ist noch nicht definitiv ent- schieden. Es wird im ordentlichen Verfahren festzustellen sein, ob die Gesuch- stellerin endgültig obsiegt. Daher rechtfertigt es sich, im vorliegenden Verfahren lediglich eine einstweilige Kostenregelung zu treffen. Gemäss Praxis des Einzel- gerichts des Handelsgerichts des Kantons Zürich sind die Gerichtskosten im Ver- fahren betreffend die vorläufige Eintragung des Pfandrechts von der Gesuchstel- lerin zu beziehen, wobei der endgültige Entscheid des Gerichts im ordentlichen Verfahren vorbehalten bleibt.</w:t>
      </w:r>
    </w:p>
    <w:p>
      <w:r>
        <w:rPr>
          <w:b/>
        </w:rPr>
        <w:t>E. 4.3</w:t>
      </w:r>
    </w:p>
    <w:p>
      <w:r>
        <w:t>Auch der Entscheid betreffend die Entschädigungsfolgen ist dem ordentli- chen Verfahren vorbehalten. Für den Fall, dass die Gesuchstellerin ihren An- spruch nicht prosequieren sollte, ist der Gesuchsgegnerin keine Parteientschädi- gung zuzusprechen, da diese keinen entsprechenden Antrag gestellt hat (act. 7).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