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HE190204 vom 9. Juli 2019</w:t>
      </w:r>
    </w:p>
    <w:p>
      <w:r>
        <w:t>Zh Handelsgericht, 2019-07-09, DE</w:t>
      </w:r>
    </w:p>
    <w:p>
      <w:r>
        <w:rPr>
          <w:b/>
        </w:rPr>
        <w:t xml:space="preserve">Quelle: </w:t>
      </w:r>
      <w:r>
        <w:t>https://mcp.opencaselaw.ch/entscheid/zh_handelsgericht_HE190204</w:t>
      </w:r>
    </w:p>
    <w:p>
      <w:r>
        <w:t>FR: ZH_HANDELSGERICHT HE190204 du 9 juillet 2019</w:t>
      </w:r>
    </w:p>
    <w:p>
      <w:r>
        <w:t>IT: ZH_HANDELSGERICHT HE190204 del 9 luglio 2019</w:t>
      </w:r>
    </w:p>
    <w:p>
      <w:pPr>
        <w:pStyle w:val="Heading2"/>
      </w:pPr>
      <w:r>
        <w:t>Erwägungen</w:t>
      </w:r>
    </w:p>
    <w:p>
      <w:r>
        <w:rPr>
          <w:b/>
        </w:rPr>
        <w:t>E. 4</w:t>
      </w:r>
    </w:p>
    <w:p>
      <w:r>
        <w:t>Prosequierung Sodann ist der Gesuchstellerin Frist anzusetzen, um Klage auf definitive Eintra- gung des Pfandrechts gegen die Gesuchsgegnerin anzuheben. Die Prosequie- rungsfrist ist praxisgemäss auf 60 Tage festzulegen, allfällige Gerichtsferien sind nach der bundesgerichtlichen Rechtsprechung nicht zu berücksichtigen (Urteil des Bundesgerichts 5A_82/2016 vom 16. August 2017 E. 2.5.2). Eine Verlänge- rung dieser Frist ist möglich, bedarf aber eines gesonderten und begründeten Ge- suches (Art. 144 Abs. 2 ZPO); dieses würde in einem kostenpflichtigen Nachver- fahren behandelt. Als zureichende Gründe für eine Fristerstreckung gemäss Art. 144 Abs. 2 ZPO werden nur entweder die Zustimmung der Gegenpartei oder von der Partei nicht vorhersehbare oder nicht beeinflussbare Hinderungsgründe anerkannt.</w:t>
      </w:r>
    </w:p>
    <w:p>
      <w:r>
        <w:t>- 7 -</w:t>
      </w:r>
    </w:p>
    <w:p>
      <w:r>
        <w:rPr>
          <w:b/>
        </w:rPr>
        <w:t>E. 5</w:t>
      </w:r>
    </w:p>
    <w:p>
      <w:r>
        <w:t>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64'391.55 auszugehen, wo- bei die Gerichtsgebühr in Anwendung von § 4 Abs. 1 und 2 sowie § 8 Abs. 1 GebV OG auf CHF 3'360.– festzusetzen ist.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Auch der Entscheid betreffend die Entschädigungsfolgen ist dem ordentlichen Verfahren vorbehalten. Für den Fall, dass die Gesuchstellerin ihren Anspruch je- doch nicht prosequieren sollte, ist der Gesuchsgegnerin in Anwendung von § 4 Abs. 1 und 2 sowie § 9 AnwGebV OG eine Parteientschädigung von CHF 4'150.– zuzusprechen. Das Einzelgericht erkennt: 1. Die einstweilige Anweisung an das Grundbuchamt …-Zürich wird bestätigt als vorläufige Eintragung im Sinne von Art. 961 ZGB mit Wirkung ab vorläu- figer Eintragung gemäss Verfügung vom 7. Juni 2019 bis zur rechtskräftigen Erledigung des gemäss Dispositiv-Ziffer 2 einzuleitenden Prozesses auf Liegenschaft Kat. Nr. 1, GBBl. 2, EGRID CH…, D._____, C._____, für eine Pfandsumme von CHF 64'391.55 nebst Zins zu 5 % auf</w:t>
      </w:r>
    </w:p>
    <w:p>
      <w:r>
        <w:t>- 8 - CHF 48'876.45 seit 28. April 2019 sowie Zins zu 5 % auf CHF 15'515.10 seit</w:t>
      </w:r>
    </w:p>
    <w:p>
      <w:r>
        <w:rPr>
          <w:b/>
        </w:rPr>
        <w:t>E. 6</w:t>
      </w:r>
    </w:p>
    <w:p>
      <w:r>
        <w:t>Schriftliche Mitteilung an die Parteien sowie an das Grundbuchamt …- Zürich.</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64'391.55.</w:t>
      </w:r>
    </w:p>
    <w:p>
      <w:r>
        <w:t>- 9 - Die gesetzlichen Fristenstillstände gelten nicht (Art. 46 Abs. 2 BGG). Zürich, 9. Juli 2019 HANDELSGERICHT DES KANTONS ZÜRICH Einzelgericht Der Gerichtsschreiber: Christian Markutt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