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HE190098 vom 15. März 2019</w:t>
      </w:r>
    </w:p>
    <w:p>
      <w:r>
        <w:t>Zh Handelsgericht, 2019-03-15, DE</w:t>
      </w:r>
    </w:p>
    <w:p>
      <w:r>
        <w:rPr>
          <w:b/>
        </w:rPr>
        <w:t xml:space="preserve">Quelle: </w:t>
      </w:r>
      <w:r>
        <w:t>https://mcp.opencaselaw.ch/entscheid/zh_handelsgericht_HE190098</w:t>
      </w:r>
    </w:p>
    <w:p>
      <w:r>
        <w:t>FR: ZH_HANDELSGERICHT HE190098 du 15 mars 2019</w:t>
      </w:r>
    </w:p>
    <w:p>
      <w:r>
        <w:t>IT: ZH_HANDELSGERICHT HE190098 del 15 marzo 2019</w:t>
      </w:r>
    </w:p>
    <w:p>
      <w:pPr>
        <w:pStyle w:val="Heading2"/>
      </w:pPr>
      <w:r>
        <w:t>Erwägungen</w:t>
      </w:r>
    </w:p>
    <w:p>
      <w:r>
        <w:rPr>
          <w:b/>
        </w:rPr>
        <w:t>E. 29</w:t>
      </w:r>
    </w:p>
    <w:p>
      <w:r>
        <w:t>Dezember 2016 stellte die C._____ eine Performance Guarantee zu Gunsten der D._____ über INR 430'000'000 für die Leistungen der E._____ in der South Zone und eine Performance Guarantee zu Gunsten der D._____ über INR 350'000'000 für die Leistungen der E._____ in der North Zone aus (act. 1 Rz. 20 ff.; act. 3/19-24). Am 25. und 31. Januar 2017 erhielt die E._____ den definitiven Zuschlag (act. 1 Rz. 14; act. 3/12-13). 3.2. Die Klägerin bringt nun vor, dass wegen technischen Problemen, welche die D._____ zu verantworten habe, die ECP nicht kommerziell habe eingeführt werden können. Zudem habe sich gezeigt, dass die Kundenbasis, welche für die</w:t>
      </w:r>
    </w:p>
    <w:p>
      <w:r>
        <w:t>- 4 - ECP und die Credit Services in Frage gekommen sei, viel kleiner gewesen sei als die D._____ in der Ausschreibung angegeben habe. Folglich habe die ECP nicht profitabel geführt werden können. Im November 2018 sei die Kundenbasis in der South Zone 81 % tiefer gewesen, als in der Ausschreibung angegeben worden sei. Deshalb habe die E._____ das im Vertrag für die South Zone vorgeschriebe- ne Schiedsverfahren eingeleitet. Gleiches habe sie am 14. Februar 2019 auch be- treffend die North Zone getan. Da sich die Parteien nicht auf einen Schiedsrichter hätten einigen können, habe die E._____ am 26. Februar 2019 (betreffend die North Zone) bzw. am 12. März 2019 (betreffend die South Zone) den High Court of Delhi in New Delhi angerufen (act. 1 Rz. 15 ff.; act. 3/14-17). Die D._____ sei Anfang diese Woche in die Schlagzeilen geraten, da sie die Ar- beitslöhne für den Monat Februar 2019 gar nicht oder nur mit Verspätung und staatlicher Unterstützung im März 2019 habe bezahlen können. Wegen der dro- henden oder möglicherweise bereits eingetretenen Zahlungsunfähigkeit der D._____ habe der Stromversorger des indischen Bundesstaats Marashtra die Energielieferungen an die D._____ gestern eingestellt. Es müsse davon ausge- gangen werden, dass die D._____ überschuldet sei. Es sei fraglich, ob der indi- sche Staat die D._____ retten und deren Gläubiger befriedigen werde (act. 1 Rz. 6 ff.). Die C._____ habe der E._____ nun am 13. März 2019 informell mitge- teilt, dass die D._____ und die C._____ beabsichtigen würden, die Performance Guarantees und die Garantien der Beklagten abzurufen (act. 1 Rz. 25). 4. Rechtliches Damit ein Zahlungsverbot als (superprovisorische) vorsorgliche Massnahme er- lassen werden kann, müssen eine Dringlichkeit (betreffend eine superprovisori- sche Massnahme eine besondere Dringlichkeit [Art. 265 Abs. 1 ZPO]), eine güns- tige Hauptsacheprognose, die Verhältnismässigkeit der Massnahme und ein nicht leicht wiedergutzumachender Nachteil glaubhaft gemacht werden (Art. 261 Abs. 1 lit. a und lit. b ZPO). Provisorische Zahlungsverbote werden bei Bankgarantien bzw. entsprechenden Rechtsgeschäften nur mit grosser Zurückhaltung ausgesprochen, weil sie dem</w:t>
      </w:r>
    </w:p>
    <w:p>
      <w:r>
        <w:t>- 5 - diesen Rechtsgeschäften zugrunde liegenden Grundsatz "zuerst zahlen, dann prozessieren" widersprechen. Provisorische Zahlungsverbote können bei Bankga- rantien und ähnlichen Rechtsgeschäften nur erlassen werden, sofern glaubhaft erscheint, dass die Abrufung des Betrages offensichtlich rechtsmissbräuchlich er- folgt (ZR 97 Nr. 92; ZR 111 Nr. 69). Ein Verbot kommt grundsätzlich nur in Frage, wenn die Abrufung in auch für die beklagtische Bank erkennbarer Weise rechts- missbräuchlich erscheint (ZR 111/2012 Nr. 69). Die herrschende Lehre und Rechtsprechung versteht unter "Offenkundigkeit" in Zusammenhang mit dem Missbrauch einer Bankgarantie dessen sofortige Beweisbarkeit (BGE 100 II 151; ZR 86 Nr. 40, ZR 88 Nr. 60; LÖW, Missbrauch von Bankgarantien und vorläufiger Rechtsschutz, Basel/Genf/München 2002, S. 72). Nach Schweizer Recht findet ein rechtsmissbräuchlicher Garantieabruf somit erst dann keinen Rechtsschutz, wenn absolut klare Verhältnisse vorliegen, die keinerlei Zweifel darüber offen las- sen, dass dem Begünstigten unter keinem vernünftiger- und redlicherweise in Be- tracht kommenden rechtlichen Aspekt ein Anspruch auf Abruf der Bankgarantie zusteht (LÖW, a.a.O., S. 71 f., m.w.H.). Rechtsmissbrauch liegt z.B. dann vor, wenn der Begünstigte selbst bestätigt, dass die gesicherte Leistung erbracht wor- den ist und er seinerseits etwas schulde (KLEINER, Bankgarantie, 4. Aufl., Zürich 1990, N. 21.49). Ebenfalls kann der Abruf einer Garantie rechtsmissbräuchlich sein, wenn der Begünstigte selbst das Erbringen der Leistung nachweislich ver- hindert, indem er beispielsweise Prüfung und Abnahme der gelieferten Ware ver- weigert oder deren Einfuhr in das Bestimmungsland hintertreibt (KLEINER, a.a.O., N. 21.49). An dieser Rechtsauffassung ist weiterhin festzuhalten. 5. Würdigung 5.1. Hinsichtlich der besonderen Dringlichkeit stützt sich die Klägerin lediglich auf eine informelle Mitteilung der C._____, wonach beabsichtigt werde, die ent- sprechenden Garantien abzurufen. Ob unter diesen Umständen überhaupt von einer besonderen Dringlichkeit gesprochen werden könnte, kann offen gelassen werden. Wie nämlich aus den nachfolgenden Erwägungen erhellt, kann der bean- tragten vorsorglichen Massnahme ohnehin nicht stattgegeben werden.</w:t>
      </w:r>
    </w:p>
    <w:p>
      <w:r>
        <w:t>- 6 - 5.2. Die Klägerin macht geltend, dass in der drohenden Abrufung der entspre- chenden Bankgarantien durch die C._____ ein rechtsmissbräuchliches Verhalten vorliegen würde. Über die formellen Voraussetzungen zur Leistung der entspre- chenden Zahlungen schweigt sie sich aus. Darauf ist daher nicht weiter einzuge- hen. In Bezug auf die Voraussetzung der Hauptsacheprognose bleibt daher ledig- lich zu prüfen, ob ein offensichtlicher Rechtsmissbrauch seitens der C._____ vor- liegt. Die Klägerin führt im Wesentlichen aus, dass die Performance Guarantee und die von der Beklagten gestellten Garantien nicht dazu gedient hätten, der illiquiden und offenbar überschuldeten D._____ kurzfristig finanzielle Mittel zuzuführen, mit denen die D._____ dann Löhne und Stromrechnungen bezahlen könnte. Die viermonatige Implementierungszeit gemäss den Verträgen vom 25. Januar 2017 und 31. Januar 2017 sei schon längstens vorüber. Gleichwohl habe die ECP we- der in der North Zone noch in der South Zone kommerziell eingeführt werden können. Die D._____ und die C._____ hätten die entsprechenden Garantien in der Vergangenheit trotz der Verzögerungen zu Recht nicht abgerufen, weil die Nichteinführung der ECP allein der D._____ anzulasten gewesen sei. Die E._____ sei nicht in Verzug und schulde der D._____ keine Erfüllung. Vielmehr schulde die D._____ der E._____ Schadenersatz, weil die D._____ in der Aus- schreibung falsche Angaben gemacht habe und weil die technischen Vorausset- zungen für die Einführung der ECP gefehlt hätten. Der Gedanke, die entspre- chenden Garantien abzurufen, sei erst aufgekommen, als die D._____ illiquide gewesen sei. Die entsprechenden Garantien sollten vielmehr eine Sicherheit für den Fall sein, dass die E._____ ihre Verpflichtungen gegenüber der D._____ nicht (mehr) hätte erfüllen können. Es gehe daher nicht um die Erfüllung der Verträge vom 25. und 31. Januar 2017, sondern um eine Mittelbeschaffung für die illiquide D._____. Es solches Verhalten sei offensichtlich rechtsmissbräuchlich (act. 1 Rz. 26 ff. und Rz. 35). Wie erwähnt, findet ein rechtsmissbräuchlicher Garantieabruf erst dann keinen Rechtsschutz, wenn absolut klare Verhältnisse vorliegen, die keinerlei Zweifel darüber offen lassen, dass dem Begünstigten unter keinem vernünftiger- und red-</w:t>
      </w:r>
    </w:p>
    <w:p>
      <w:r>
        <w:t>- 7 - licherweise in Betracht kommenden rechtlichen Aspekt ein Anspruch auf Abruf der Bankgarantien zusteht. Sodann braucht die Abrufung der Bankgarantien in auch für die beklagtische Bank erkennbarer Weise rechtsmissbräuchlich zu sein. Beides ist vorliegend nicht der Fall. Zunächst ist darauf hinzuweisen, dass es sich bei der Klägerin betreffend das Vertragsverhältnis zwischen der E._____ und der D._____ um eine Drittpartei handelt. Die Klägerin hält lediglich eine Beteiligung an der E._____-Gruppe, zu welcher unter anderem die E._____ gehört. Es ist damit bereits fraglich, ob auf ihre Behauptungen, wonach die E._____ ihren vertragli- chen Pflichten gemäss Vertrag zwischen dem E._____ und der D._____ auch tat- sächlich nachgekommen sei, überhaupt abgestellt werden kann. Ohnehin aber kann nicht gesagt werden, dass keinerlei Zweifel darüber bestehen, dass die E._____ ihren vertraglichen Verpflichtungen gegenüber der D._____ auch tat- sächlich nachgekommen ist. Ein Gerichtsverfahren vor dem High Court of Delhi ist pendent. Angesichts des möglichen Interpretationsspielraums der hierfür zu klärenden Sach- und Rechtsfragen (insbesondere ob die D._____ dafür verant- wortlich ist, dass die ECP nicht eingeführt werden konnte) kann denn auch nicht von klaren Verhältnissen gesprochen werden. Weiter kann aus dem Umstand, dass die C._____ die entsprechenden Garantien bisher noch nicht abgerufen hat- te, noch nicht geschlossen werden, dass dies nun in rechtsmissbräuchlicher Wei- se im Hinblick auf die angeblichen, nicht rechtsgenügend dargelegten Zahlungs- schwierigkeiten der D._____ erfolgen würde. Unter diesen Umständen ist sowohl für das Gericht als auch für die Beklagte ein allfälliger Rechtsmissbrauch eines bevorstehenden Garantieabrufs nicht ohne Weiteres erkennbar und damit nicht offensichtlich. Ein offensichtlicher Rechtsmissbrauch ist daher bereits nicht glaub- haft gemacht. 5.3. Weiter sieht die Klägerin den drohenden, nicht leicht wiedergutzuma- chenden Nachteil darin, dass die Klägerin und die E._____ den von der Beklagten ausbezahlten Betrag klageweise von der C._____ und der D._____ zurückfordern müsste. Die Klägerin wäre diesfalls in einer Klägerrolle anstatt einer Beklagtenrol- le. Dies stelle einen nicht leicht wiedergutzumachen Nachteil dar. Denn der Rück- forderungsprozess müsste in Indien geführt werden, wobei die indische Justiz weltweit zu den langsamsten gehöre. Hinzu komme, dass die D._____ illiquid und</w:t>
      </w:r>
    </w:p>
    <w:p>
      <w:r>
        <w:t>- 8 - kurz vor der Insolvenz stehe. Im Konkurs der D._____ wären die Rückforde- rungsansprüche nicht mehr durchsetzbar. Und selbst wenn die D._____ vom indi- schen Staat gerettet würde, hätte dies nicht automatisch zur Folge, dass die For- derungen der Gläubiger (inklusive die vorliegenden Rückforderungsansprüche) befriedigt werden würden. Würde die Beklagte die entsprechenden Garantiezah- lungen leisten, so wären die entsprechenden Beträge faktisch unwiderruflich ver- loren (act. 1 Rz. 37 ff.). Mit diesen Ausführungen vermag die Klägerin einen drohenden, nicht leicht wie- der gutzumachenden Nachteil nicht glaubhaft zu machen. Das Führen eines Zivil- prozesses mit einer entsprechenden Rollenverteilung zwischen der Klägerin und der Beklagten und die damit verbundenen Aufwände allein stellen nämlich noch keinen nicht leicht wieder gutzumachenden Nachteil dar. Die Klägerin kann aus einem allfällig zu führenden Rückforderungsprozess vor einem indischen Gericht nichts zu ihren Gunsten ableiten. Auch wenn die indische Justiz langsam sein mag, so muss sich die Klägerin entgegenhalten lassen, dass sie diesen Umstand mit den von ihr gestellten Garantien in Kauf genommen hat. Was die klägerischen Ausführungen hinsichtlich eines allfälligen Konkurses der D._____ betrifft, so gilt es zunächst zu betonen, dass die Abrufung der entsprechenden Garantien die C._____ und nicht die D._____ betreffen würde. Eine entsprechende Verknüp- fung zwischen den beklagtischen Garantien zugunsten der C._____ und deren Garantien zugunsten der D._____ in einem allfälligen Konkursverfahren der D._____ wurde von der Klägerin nicht hinreichend dargetan. Ohnehin handelt es sich bei der klägerischen Behauptung, wonach über die D._____ der Konkurs er- öffnet werden würde bzw. die Forderungen der Gläubiger der D._____ nicht be- friedigt werden würden, um eine reine Mutmassung, die einen nicht leicht wieder- gutzumachenden Nachteil nicht glaubhaft zu machen vermag. 5.4. Da somit weder ein offensichtlicher Rechtsmissbrauch eines Garantie- abrufs noch ein drohender, nicht leicht wieder gutzumachender Nachteil glaubhaft gemacht werden konnte, ist das Massnahmegesuch folglich gänzlich – sowohl superprovisorisch als auch vorsorglich – abzuweisen. Eine Prüfung der weiteren Voraussetzungen erübrigt sich.</w:t>
      </w:r>
    </w:p>
    <w:p>
      <w:r>
        <w:t>- 9 - 6. Kosten- und Entschädigungsfolgen Ausgangsgemäss wird die Klägerin kostenpflichtig (Art. 106 Abs. 1 ZPO). Der Streitwert entspricht vorliegend der Höhe der betreffenden Garantien, mithin INR 376'300'000 (INR 155'200'000 + INR 221'100'000), d.h. CHF 5'435'280.– (Umrechnungskurs per heutigem Datum). In Anwendung von § 4 Abs. 1 und 2 und § 8 Abs. 1 GebV OG ist die Gerichtsgebühr – unter Berücksichtigung des Äquivalenzprinzips – auf CHF 35'000.– festzusetzen. Mangels prozessualem Aufwand im vorliegenden Verfahren ist der Beklagten kei- ne Parteientschädigung zuzusprechen.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