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HE180436 vom 10. Dezember 2018</w:t>
      </w:r>
    </w:p>
    <w:p>
      <w:r>
        <w:t>Zh Handelsgericht, 2018-12-10, DE</w:t>
      </w:r>
    </w:p>
    <w:p>
      <w:r>
        <w:rPr>
          <w:b/>
        </w:rPr>
        <w:t xml:space="preserve">Quelle: </w:t>
      </w:r>
      <w:r>
        <w:t>https://mcp.opencaselaw.ch/entscheid/zh_handelsgericht_HE180436</w:t>
      </w:r>
    </w:p>
    <w:p>
      <w:r>
        <w:t>FR: ZH_HANDELSGERICHT HE180436 du 10 décembre 2018</w:t>
      </w:r>
    </w:p>
    <w:p>
      <w:r>
        <w:t>IT: ZH_HANDELSGERICHT HE180436 del 10 dicembre 2018</w:t>
      </w:r>
    </w:p>
    <w:p>
      <w:pPr>
        <w:pStyle w:val="Heading2"/>
      </w:pPr>
      <w:r>
        <w:t>Erwägungen</w:t>
      </w:r>
    </w:p>
    <w:p>
      <w:r>
        <w:rPr>
          <w:b/>
        </w:rPr>
        <w:t>E. 5</w:t>
      </w:r>
    </w:p>
    <w:p>
      <w:r>
        <w:t>Rechtliches</w:t>
      </w:r>
    </w:p>
    <w:p>
      <w:r>
        <w:rPr>
          <w:b/>
        </w:rPr>
        <w:t>E. 5.1</w:t>
      </w:r>
    </w:p>
    <w:p>
      <w:r>
        <w:t>Das Gericht gewährt nach Art. 257 Abs. 1 ZPO Rechtsschutz im summari- 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mit wei- teren Hinweisen).</w:t>
      </w:r>
    </w:p>
    <w:p>
      <w:r>
        <w:rPr>
          <w:b/>
        </w:rPr>
        <w:t>E. 5.2</w:t>
      </w:r>
    </w:p>
    <w:p>
      <w:r>
        <w:t>Ist die Mieterin mit der Zahlung fälliger Mietzinse oder Nebenkosten im Rückstand, so kann ihr die Vermieterin schriftlich eine Zahlungsfrist setzen und ihr androhen, dass bei unbenütztem Ablauf der Frist das Mietverhältnis gekündigt werde. Diese Frist beträgt bei Wohn- und Geschäftsräumen mindestens 30 Tage</w:t>
      </w:r>
    </w:p>
    <w:p>
      <w:r>
        <w:t>- 5 - (Art. 257d Abs. 1 OR). Bei der Zahlungsfristansetzung beginnt die Frist mit dem Zugang des Schreibens bei der Mieterin, bei Zustellung durch eingeschriebenen Brief mit dessen Behändigung am Postschalter bzw. nach Ablauf der siebentägi- gen Abholfrist (sog. eingeschränkte Empfangstheorie; BGE 119 II 147, E. 2). Bezahlt die Mieterin innert der angesetzten Zahlungsfrist nicht, so kann die Ver- mieterin bei Wohn- und Geschäftsräumen mit einer Frist von mindestens 30 Tagen auf Ende eines Monats kündigen (Art. 257d Abs. 2 OR). Bei Kündigun- gen gelangt die uneingeschränkte Empfangstheorie zur Anwendung. Eine Kündi- gung mit eingeschriebenem Brief ist wirksam, wenn die Abholungseinladung in den Briefkasten oder das Schreiben ins Postfach der Mieterin gelegt worden, und ihr die Abholung nach dem üblichen Lauf der Dinge zumutbar ist, auch wenn sie erst später davon Kenntnis erlangt (Urteil des Bundesgerichts 4A_120/2014 vom 19. Mai 2014, E. 5.1; BGE 137 III 208, E. 3).</w:t>
      </w:r>
    </w:p>
    <w:p>
      <w:r>
        <w:rPr>
          <w:b/>
        </w:rPr>
        <w:t>E. 5.3</w:t>
      </w:r>
    </w:p>
    <w:p>
      <w:r>
        <w:t>Nach beendetem Mietverhältnis muss die Mieterin der Vermieterin die Sa- che gemäss Art. 267 OR zurückgeben. Zur Durchsetzung des Rückgabean- spruchs bei Wohn- und Geschäftsräumen kann die Vermieterin um die Auswei- sung der Mieterin ersuchen (SVIT-Kommentar Mietrecht, 3. Aufl., Art. 267-267a N. 15). Mit dem Ausweisungsgesuch kann die Vermieterin Vollstreckungsmass- nahmen, d.h. einen Ausweisungsbefehl, beantragen (Art. 236 Abs. 3 ZPO und Art. 337 Abs. 1 ZPO).</w:t>
      </w:r>
    </w:p>
    <w:p>
      <w:r>
        <w:rPr>
          <w:b/>
        </w:rPr>
        <w:t>E. 6</w:t>
      </w:r>
    </w:p>
    <w:p>
      <w:r>
        <w:t>Würdigung</w:t>
      </w:r>
    </w:p>
    <w:p>
      <w:r>
        <w:rPr>
          <w:b/>
        </w:rPr>
        <w:t>E. 6.1</w:t>
      </w:r>
    </w:p>
    <w:p>
      <w:r>
        <w:t>Vorliegend ist die Rechtslage klar, womit ein Anspruch nach Art. 257 ZPO gegeben ist; denn der Beklagten wurde schriftlich eine Zahlungsfrist von 30 Tagen angesetzt und angedroht, dass bei unbenütztem Ablauf der Frist das Mietverhältnis gekündigt werde. Die siebentägige Abholungsfrist dieses Schrei- bens lief am 23. April 2018 ab, womit es an diesem Datum als zugestellt gilt (act. 3/6). Die 30-tägige Zahlungsfrist lief damit am 23. Mai 2018 ab. Nachdem die ausstehenden Mietzinse nicht bezahlt worden waren, wurden sodann die Mietver- hältnisse per 30. September 2018 gekündigt. Diese Kündigungsschreiben wurden der Beklagten am 29. August 2018 zur Abholung gemeldet und gelten somit als</w:t>
      </w:r>
    </w:p>
    <w:p>
      <w:r>
        <w:t>- 6 - am 30. August 2018 zugestellt (act. 3/12 und 13). Die Kündigungsfrist begann somit am Folgetag, also am 31. August 2018, zu laufen. Die 30-tägige Kündi- gungsfrist (bis 30. September 2018) wurde damit gewahrt.</w:t>
      </w:r>
    </w:p>
    <w:p>
      <w:r>
        <w:rPr>
          <w:b/>
        </w:rPr>
        <w:t>E. 6.2</w:t>
      </w:r>
    </w:p>
    <w:p>
      <w:r>
        <w:t>Entsprechend wurden die betreffenden Mietverhältnisse rechtsgültig ge- kündigt. Dennoch hat die Beklagte die betreffenden Mietobjekte seither bzw. bis zum heutigen Zeitpunkt nicht geräumt und damit ihre Rückgabepflicht verletzt. Die Beklagte hält sich somit ohne Rechtsgrund in den Mietobjekten auf, weshalb der Ausweisungsbefehl zu erteilen ist. Antragsgemäss ist daher der Beklagten zu be- fehlen, die Gewerberäume 1 (ca. 145 m2) sowie 2 (ca. 126 m2) im 1. Obergeschoss der Liegenschaft C._____-Strasse …, Haus …, … Zürich, ord- nungsgemäss geräumt und gereinigt sofort zu verlassen und der Klägerin in ver- tragsgemässem Zustand zu übergeben.</w:t>
      </w:r>
    </w:p>
    <w:p>
      <w:r>
        <w:rPr>
          <w:b/>
        </w:rPr>
        <w:t>E. 6.3</w:t>
      </w:r>
    </w:p>
    <w:p>
      <w:r>
        <w:t>Die Klägerin beantragt zudem Vollstreckungsmassnahmen. Dem ist statt- zugeben. Das Stadtammanamt Zürich … ist daher anzuweisen, den Auswei- sungsbefehl auf erstes Verlangen der Klägerin zu vollstrecken.</w:t>
      </w:r>
    </w:p>
    <w:p>
      <w:r>
        <w:rPr>
          <w:b/>
        </w:rPr>
        <w:t>E. 7</w:t>
      </w:r>
    </w:p>
    <w:p>
      <w:r>
        <w:t>Kosten- und Entschädigungsfolgen</w:t>
      </w:r>
    </w:p>
    <w:p>
      <w:r>
        <w:rPr>
          <w:b/>
        </w:rPr>
        <w:t>E. 7.1</w:t>
      </w:r>
    </w:p>
    <w:p>
      <w:r>
        <w:t>Ausgangsgemäss ist die Beklagte kosten- und entschädigungspflichtig (Art. 106 Abs. 1 ZPO).</w:t>
      </w:r>
    </w:p>
    <w:p>
      <w:r>
        <w:rPr>
          <w:b/>
        </w:rPr>
        <w:t>E. 7.2</w:t>
      </w:r>
    </w:p>
    <w:p>
      <w:r>
        <w:t>Praxisgemäss ist von einem Streitwert in der Höhe von sechs (Brutto-) Mo- natsmietzinsen auszugehen (ZR 114/2015 S. 61), was vorliegend CHF 26'998.– ergibt. Die Gerichtsgebühr ist auf CHF 2'000.– festzusetzen (§ 4 Abs. 1 und Abs. 2 i.V.m. § 8 Abs. 1 GebV OG) und der Beklagten aufzuerlegen. Die Kosten sind aus dem von der Klägerin geleisteten Kostenvorschuss zu decken (Art. 111 Abs. 1 ZPO), wofür der Klägerin das Rückgriffsrecht auf die Beklagte einzuräu- men ist (Art. 111 Abs. 2 ZPO). Sodann ist der Klägerin – in Anwendung von § 4 Abs. 1 sowie § 9 AnwGebV OG – eine Parteientschädigung von CHF 2'300.– zuzusprechen.</w:t>
      </w:r>
    </w:p>
    <w:p>
      <w:r>
        <w:t>- 7 -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